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pPr>
      <w:bookmarkStart w:id="10" w:name="_GoBack"/>
      <w:bookmarkEnd w:id="10"/>
      <w:r>
        <w:rPr>
          <w:b/>
          <w:bCs/>
          <w:spacing w:val="20"/>
          <w:sz w:val="28"/>
          <w:szCs w:val="28"/>
        </w:rPr>
        <w:t>Администрация Богородского муниципального округа</w:t>
      </w:r>
    </w:p>
    <w:p>
      <w:pPr>
        <w:jc w:val="center"/>
      </w:pPr>
      <w:r>
        <w:rPr>
          <w:b/>
          <w:bCs/>
          <w:spacing w:val="20"/>
          <w:sz w:val="28"/>
          <w:szCs w:val="28"/>
        </w:rPr>
        <w:t>Нижегородской области</w:t>
      </w:r>
    </w:p>
    <w:p>
      <w:pPr>
        <w:jc w:val="center"/>
        <w:rPr>
          <w:b/>
          <w:bCs/>
          <w:spacing w:val="80"/>
          <w:sz w:val="28"/>
          <w:szCs w:val="28"/>
        </w:rPr>
      </w:pPr>
    </w:p>
    <w:p>
      <w:pPr>
        <w:jc w:val="center"/>
      </w:pPr>
      <w:r>
        <w:rPr>
          <w:b/>
          <w:bCs/>
          <w:spacing w:val="80"/>
          <w:sz w:val="48"/>
          <w:szCs w:val="48"/>
        </w:rPr>
        <w:t>ПОСТАНОВЛЕНИЕ</w:t>
      </w:r>
    </w:p>
    <w:p>
      <w:pPr>
        <w:jc w:val="center"/>
        <w:rPr>
          <w:b/>
          <w:bCs/>
          <w:spacing w:val="80"/>
          <w:sz w:val="28"/>
          <w:szCs w:val="28"/>
        </w:rPr>
      </w:pPr>
    </w:p>
    <w:p>
      <w:pPr>
        <w:tabs>
          <w:tab w:val="left" w:pos="4606"/>
        </w:tabs>
        <w:jc w:val="center"/>
      </w:pPr>
      <w:r>
        <w:rPr>
          <w:sz w:val="28"/>
          <w:szCs w:val="28"/>
        </w:rPr>
        <w:t>01.07.2021                                                                                      № 2040</w:t>
      </w:r>
    </w:p>
    <w:p>
      <w:pPr>
        <w:jc w:val="center"/>
        <w:rPr>
          <w:spacing w:val="80"/>
          <w:sz w:val="28"/>
          <w:szCs w:val="28"/>
        </w:rPr>
      </w:pPr>
    </w:p>
    <w:p>
      <w:pPr>
        <w:jc w:val="center"/>
      </w:pPr>
      <w:r>
        <w:rPr>
          <w:b/>
          <w:color w:val="000000"/>
          <w:sz w:val="28"/>
          <w:szCs w:val="28"/>
        </w:rPr>
        <w:t xml:space="preserve">О внесении изменения в муниципальную программу «Обеспечение </w:t>
      </w:r>
    </w:p>
    <w:p>
      <w:pPr>
        <w:jc w:val="center"/>
      </w:pPr>
      <w:r>
        <w:rPr>
          <w:b/>
          <w:color w:val="000000"/>
          <w:sz w:val="28"/>
          <w:szCs w:val="28"/>
        </w:rPr>
        <w:t xml:space="preserve">населения Богородского муниципального округа Нижегородской </w:t>
      </w:r>
    </w:p>
    <w:p>
      <w:pPr>
        <w:jc w:val="center"/>
      </w:pPr>
      <w:r>
        <w:rPr>
          <w:b/>
          <w:color w:val="000000"/>
          <w:sz w:val="28"/>
          <w:szCs w:val="28"/>
        </w:rPr>
        <w:t xml:space="preserve">области качественными услугами в сфере жилищно-коммунального </w:t>
      </w:r>
    </w:p>
    <w:p>
      <w:pPr>
        <w:jc w:val="center"/>
      </w:pPr>
      <w:r>
        <w:rPr>
          <w:b/>
          <w:color w:val="000000"/>
          <w:sz w:val="28"/>
          <w:szCs w:val="28"/>
        </w:rPr>
        <w:t xml:space="preserve">хозяйства», утвержденную постановлением администрации </w:t>
      </w:r>
    </w:p>
    <w:p>
      <w:pPr>
        <w:jc w:val="center"/>
      </w:pPr>
      <w:r>
        <w:rPr>
          <w:b/>
          <w:color w:val="000000"/>
          <w:sz w:val="28"/>
          <w:szCs w:val="28"/>
        </w:rPr>
        <w:t xml:space="preserve">Богородского муниципального района Нижегородской области </w:t>
      </w:r>
    </w:p>
    <w:p>
      <w:pPr>
        <w:jc w:val="center"/>
      </w:pPr>
      <w:r>
        <w:rPr>
          <w:b/>
          <w:color w:val="000000"/>
          <w:sz w:val="28"/>
          <w:szCs w:val="28"/>
        </w:rPr>
        <w:t xml:space="preserve">от 03.12.2020 № 2081 </w:t>
      </w:r>
    </w:p>
    <w:p>
      <w:pPr>
        <w:ind w:firstLine="709"/>
        <w:jc w:val="both"/>
        <w:rPr>
          <w:b/>
          <w:color w:val="000000"/>
          <w:spacing w:val="80"/>
          <w:sz w:val="28"/>
          <w:szCs w:val="28"/>
        </w:rPr>
      </w:pPr>
    </w:p>
    <w:p>
      <w:pPr>
        <w:ind w:firstLine="709"/>
        <w:jc w:val="both"/>
      </w:pPr>
      <w:r>
        <w:rPr>
          <w:color w:val="000000"/>
          <w:sz w:val="28"/>
          <w:szCs w:val="28"/>
        </w:rPr>
        <w:t xml:space="preserve">В связи с решением Совета депутатов Богородского муниципального округа Нижегородской области от 10.12.2020 № 70 «О бюджете Богородского муниципального округа Нижегородской области на 2021 год и на плановый период 2022 и 2023 годов» администрация Богородского муниципального округа Нижегородской области </w:t>
      </w:r>
      <w:r>
        <w:rPr>
          <w:b/>
          <w:color w:val="000000"/>
          <w:sz w:val="28"/>
          <w:szCs w:val="28"/>
        </w:rPr>
        <w:t>п о с т а н о в л я е т:</w:t>
      </w:r>
    </w:p>
    <w:p>
      <w:pPr>
        <w:pStyle w:val="52"/>
        <w:tabs>
          <w:tab w:val="left" w:pos="540"/>
        </w:tabs>
        <w:ind w:firstLine="709"/>
        <w:jc w:val="both"/>
      </w:pPr>
      <w:r>
        <w:rPr>
          <w:sz w:val="28"/>
          <w:szCs w:val="28"/>
        </w:rPr>
        <w:t xml:space="preserve">1. Внести в муниципальную программу «Обеспечение населения Богородского муниципального округа Нижегородской области качественными услугами в сфере жилищно-коммунального хозяйства», утвержденную постановлением администрации Богородского муниципального района Нижегородской области от 03.12.2020 № 2081, изменение (с изменениями, внесенными постановлением администрации Богородского муниципального округа Нижегородской области от 10.03.2021 № 502, от 30.04.2021 №1318), изложив ее в новой редакции, согласно приложению к настоящему постановлению. </w:t>
      </w:r>
    </w:p>
    <w:p>
      <w:pPr>
        <w:ind w:firstLine="709"/>
        <w:jc w:val="both"/>
      </w:pPr>
      <w:r>
        <w:rPr>
          <w:sz w:val="28"/>
          <w:szCs w:val="28"/>
        </w:rPr>
        <w:t>2. Обнародовать настоящее постановление в установленном порядке.</w:t>
      </w:r>
    </w:p>
    <w:p>
      <w:pPr>
        <w:ind w:firstLine="709"/>
        <w:jc w:val="both"/>
      </w:pPr>
      <w:r>
        <w:rPr>
          <w:sz w:val="28"/>
          <w:szCs w:val="28"/>
        </w:rPr>
        <w:t>3. Разместить (опубликовать) настоящее постановление на официальном сайте администрации Богородского муниципального округа Нижегородской области в информационно-телекоммуникационной сети «Интернет» (http://bg-adm.ru).</w:t>
      </w:r>
    </w:p>
    <w:p>
      <w:pPr>
        <w:tabs>
          <w:tab w:val="left" w:pos="720"/>
        </w:tabs>
        <w:ind w:firstLine="709"/>
        <w:jc w:val="both"/>
      </w:pPr>
      <w:r>
        <w:rPr>
          <w:sz w:val="28"/>
          <w:szCs w:val="28"/>
        </w:rPr>
        <w:t>4. Контроль исполнения настоящего постановления возложить на заместителя главы администрации-начальника промышленно-экономического управления и ЖКХ администрации Богородского муниципального округа Нижегородской области Шолина В.Ю.</w:t>
      </w:r>
    </w:p>
    <w:p>
      <w:pPr>
        <w:ind w:left="360" w:firstLine="360"/>
        <w:rPr>
          <w:sz w:val="28"/>
          <w:szCs w:val="28"/>
        </w:rPr>
      </w:pPr>
    </w:p>
    <w:p>
      <w:pPr>
        <w:ind w:left="360" w:firstLine="360"/>
        <w:rPr>
          <w:sz w:val="28"/>
          <w:szCs w:val="28"/>
        </w:rPr>
      </w:pPr>
    </w:p>
    <w:p>
      <w:pPr>
        <w:jc w:val="both"/>
        <w:rPr>
          <w:sz w:val="28"/>
          <w:szCs w:val="28"/>
        </w:rPr>
      </w:pPr>
      <w:r>
        <w:rPr>
          <w:sz w:val="28"/>
          <w:szCs w:val="28"/>
        </w:rPr>
        <w:t>Исполняющий обязанности</w:t>
      </w:r>
    </w:p>
    <w:p>
      <w:pPr>
        <w:jc w:val="both"/>
      </w:pPr>
      <w:r>
        <w:rPr>
          <w:sz w:val="28"/>
          <w:szCs w:val="28"/>
        </w:rPr>
        <w:t>главы местного самоуправления          </w:t>
      </w:r>
      <w:r>
        <w:rPr>
          <w:sz w:val="28"/>
          <w:szCs w:val="28"/>
          <w:lang w:val="en-US"/>
        </w:rPr>
        <w:t>      </w:t>
      </w:r>
      <w:r>
        <w:rPr>
          <w:sz w:val="28"/>
          <w:szCs w:val="28"/>
        </w:rPr>
        <w:t>                                     В.В.Павлычев</w:t>
      </w:r>
    </w:p>
    <w:p>
      <w:pPr>
        <w:rPr>
          <w:sz w:val="28"/>
          <w:szCs w:val="28"/>
        </w:rPr>
      </w:pPr>
    </w:p>
    <w:p>
      <w:r>
        <w:t xml:space="preserve">В.Ю.Шолин </w:t>
      </w:r>
    </w:p>
    <w:p>
      <w:pPr>
        <w:sectPr>
          <w:headerReference r:id="rId4" w:type="first"/>
          <w:headerReference r:id="rId3" w:type="default"/>
          <w:footerReference r:id="rId5" w:type="default"/>
          <w:pgSz w:w="11906" w:h="16838"/>
          <w:pgMar w:top="1134" w:right="851" w:bottom="1134" w:left="1701" w:header="284" w:footer="284" w:gutter="0"/>
          <w:cols w:space="720" w:num="1"/>
          <w:titlePg/>
          <w:docGrid w:linePitch="360" w:charSpace="0"/>
        </w:sectPr>
      </w:pPr>
      <w:r>
        <w:t>2-15-97</w:t>
      </w:r>
    </w:p>
    <w:p>
      <w:pPr>
        <w:sectPr>
          <w:type w:val="continuous"/>
          <w:pgSz w:w="11906" w:h="16838"/>
          <w:pgMar w:top="1134" w:right="851" w:bottom="1134" w:left="1701" w:header="284" w:footer="284" w:gutter="0"/>
          <w:cols w:space="720" w:num="1"/>
          <w:docGrid w:linePitch="360" w:charSpace="0"/>
        </w:sectPr>
      </w:pPr>
    </w:p>
    <w:p>
      <w:pPr>
        <w:ind w:left="5220"/>
        <w:jc w:val="center"/>
      </w:pPr>
      <w:r>
        <w:rPr>
          <w:sz w:val="28"/>
          <w:szCs w:val="28"/>
        </w:rPr>
        <w:t xml:space="preserve">ПРИЛОЖЕНИЕ </w:t>
      </w:r>
    </w:p>
    <w:p>
      <w:pPr>
        <w:ind w:left="5220"/>
        <w:jc w:val="center"/>
        <w:rPr>
          <w:sz w:val="28"/>
          <w:szCs w:val="28"/>
        </w:rPr>
      </w:pPr>
    </w:p>
    <w:p>
      <w:pPr>
        <w:ind w:left="5220"/>
        <w:jc w:val="center"/>
      </w:pPr>
      <w:r>
        <w:rPr>
          <w:sz w:val="28"/>
          <w:szCs w:val="28"/>
        </w:rPr>
        <w:t>к постановлению администрации Богородского муниципального округа Нижегородской области</w:t>
      </w:r>
    </w:p>
    <w:p>
      <w:pPr>
        <w:ind w:left="5220"/>
        <w:jc w:val="center"/>
      </w:pPr>
      <w:r>
        <w:rPr>
          <w:sz w:val="28"/>
          <w:szCs w:val="28"/>
        </w:rPr>
        <w:t>от 01.07.2021 № 2040</w:t>
      </w:r>
    </w:p>
    <w:p>
      <w:pPr>
        <w:ind w:left="5220"/>
        <w:jc w:val="center"/>
        <w:rPr>
          <w:sz w:val="28"/>
          <w:szCs w:val="28"/>
        </w:rPr>
      </w:pPr>
    </w:p>
    <w:p>
      <w:pPr>
        <w:ind w:left="5220"/>
        <w:jc w:val="center"/>
        <w:rPr>
          <w:sz w:val="28"/>
          <w:szCs w:val="28"/>
        </w:rPr>
      </w:pPr>
      <w:r>
        <w:rPr>
          <w:sz w:val="28"/>
          <w:szCs w:val="28"/>
        </w:rPr>
        <w:t>«Приложение</w:t>
      </w:r>
    </w:p>
    <w:p>
      <w:pPr>
        <w:ind w:left="5220"/>
        <w:jc w:val="center"/>
      </w:pPr>
      <w:r>
        <w:rPr>
          <w:sz w:val="28"/>
          <w:szCs w:val="28"/>
        </w:rPr>
        <w:t xml:space="preserve">УТВЕРЖДЕНА </w:t>
      </w:r>
    </w:p>
    <w:p>
      <w:pPr>
        <w:ind w:left="5220"/>
        <w:jc w:val="center"/>
        <w:rPr>
          <w:sz w:val="28"/>
          <w:szCs w:val="28"/>
        </w:rPr>
      </w:pPr>
    </w:p>
    <w:p>
      <w:pPr>
        <w:ind w:left="5220"/>
        <w:jc w:val="center"/>
      </w:pPr>
      <w:r>
        <w:rPr>
          <w:sz w:val="28"/>
          <w:szCs w:val="28"/>
        </w:rPr>
        <w:t>к постановлению администрации Богородского муниципального района Нижегородской области</w:t>
      </w:r>
    </w:p>
    <w:p>
      <w:pPr>
        <w:ind w:left="5220"/>
        <w:jc w:val="center"/>
      </w:pPr>
      <w:r>
        <w:rPr>
          <w:sz w:val="28"/>
          <w:szCs w:val="28"/>
        </w:rPr>
        <w:t>от 03.12.2020 № 2081</w:t>
      </w:r>
    </w:p>
    <w:p>
      <w:pPr>
        <w:ind w:left="5220"/>
        <w:jc w:val="center"/>
        <w:rPr>
          <w:sz w:val="28"/>
          <w:szCs w:val="28"/>
        </w:rPr>
      </w:pPr>
    </w:p>
    <w:p>
      <w:pPr>
        <w:pStyle w:val="52"/>
        <w:jc w:val="center"/>
      </w:pPr>
      <w:r>
        <w:rPr>
          <w:b/>
          <w:bCs/>
          <w:color w:val="auto"/>
        </w:rPr>
        <w:t xml:space="preserve">МУНИЦИПАЛЬНАЯ ПРОГРАММА </w:t>
      </w:r>
    </w:p>
    <w:p>
      <w:pPr>
        <w:pStyle w:val="52"/>
        <w:jc w:val="center"/>
      </w:pPr>
      <w:r>
        <w:rPr>
          <w:b/>
          <w:bCs/>
          <w:color w:val="auto"/>
        </w:rPr>
        <w:t xml:space="preserve">«Обеспечение населения Богородского муниципального округа Нижегородской области качественными услугами в сфере жилищно-коммунального хозяйства» </w:t>
      </w:r>
      <w:r>
        <w:rPr>
          <w:color w:val="auto"/>
        </w:rPr>
        <w:t>(далее - Программа)</w:t>
      </w:r>
    </w:p>
    <w:p>
      <w:pPr>
        <w:pStyle w:val="52"/>
        <w:jc w:val="center"/>
        <w:rPr>
          <w:color w:val="auto"/>
          <w:sz w:val="20"/>
          <w:szCs w:val="20"/>
        </w:rPr>
      </w:pPr>
    </w:p>
    <w:p>
      <w:pPr>
        <w:pStyle w:val="52"/>
        <w:jc w:val="center"/>
      </w:pPr>
      <w:r>
        <w:rPr>
          <w:b/>
          <w:bCs/>
          <w:color w:val="auto"/>
        </w:rPr>
        <w:t>1. Паспорт муниципальной Программы</w:t>
      </w:r>
    </w:p>
    <w:p>
      <w:pPr>
        <w:pStyle w:val="52"/>
        <w:jc w:val="center"/>
      </w:pPr>
      <w:r>
        <w:rPr>
          <w:b/>
          <w:bCs/>
          <w:color w:val="auto"/>
        </w:rPr>
        <w:t xml:space="preserve">Богородского муниципального округа Нижегородской области </w:t>
      </w:r>
    </w:p>
    <w:p>
      <w:pPr>
        <w:pStyle w:val="52"/>
        <w:jc w:val="center"/>
      </w:pPr>
      <w:r>
        <w:rPr>
          <w:b/>
          <w:bCs/>
          <w:color w:val="auto"/>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pPr>
        <w:pStyle w:val="52"/>
        <w:jc w:val="center"/>
        <w:rPr>
          <w:b/>
          <w:color w:val="auto"/>
          <w:highlight w:val="yellow"/>
        </w:rPr>
      </w:pPr>
    </w:p>
    <w:tbl>
      <w:tblPr>
        <w:tblStyle w:val="4"/>
        <w:tblW w:w="0" w:type="auto"/>
        <w:tblInd w:w="89" w:type="dxa"/>
        <w:tblLayout w:type="fixed"/>
        <w:tblCellMar>
          <w:top w:w="0" w:type="dxa"/>
          <w:left w:w="28" w:type="dxa"/>
          <w:bottom w:w="0" w:type="dxa"/>
          <w:right w:w="28" w:type="dxa"/>
        </w:tblCellMar>
      </w:tblPr>
      <w:tblGrid>
        <w:gridCol w:w="2318"/>
        <w:gridCol w:w="6986"/>
      </w:tblGrid>
      <w:tr>
        <w:tblPrEx>
          <w:tblCellMar>
            <w:top w:w="0" w:type="dxa"/>
            <w:left w:w="28" w:type="dxa"/>
            <w:bottom w:w="0" w:type="dxa"/>
            <w:right w:w="28" w:type="dxa"/>
          </w:tblCellMar>
        </w:tblPrEx>
        <w:trPr>
          <w:wBefore w:w="0" w:type="auto"/>
          <w:trHeight w:val="23" w:hRule="atLeast"/>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Муниципальный заказчик-координатор  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tblPrEx>
          <w:tblCellMar>
            <w:top w:w="0" w:type="dxa"/>
            <w:left w:w="28" w:type="dxa"/>
            <w:bottom w:w="0" w:type="dxa"/>
            <w:right w:w="28" w:type="dxa"/>
          </w:tblCellMar>
        </w:tblPrEx>
        <w:trPr>
          <w:wBefore w:w="0" w:type="auto"/>
          <w:trHeight w:val="23" w:hRule="atLeast"/>
        </w:trPr>
        <w:tc>
          <w:tcPr>
            <w:tcW w:w="2318" w:type="dxa"/>
            <w:tcBorders>
              <w:left w:val="single" w:color="000000" w:sz="2" w:space="0"/>
              <w:bottom w:val="single" w:color="000000" w:sz="2" w:space="0"/>
            </w:tcBorders>
            <w:shd w:val="clear" w:color="auto" w:fill="auto"/>
            <w:noWrap w:val="0"/>
            <w:vAlign w:val="top"/>
          </w:tcPr>
          <w:p>
            <w:pPr>
              <w:pStyle w:val="52"/>
            </w:pPr>
            <w:r>
              <w:rPr>
                <w:color w:val="auto"/>
              </w:rPr>
              <w:t xml:space="preserve">Соисполнители  Программы </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p>
            <w:pPr>
              <w:pStyle w:val="52"/>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tblPrEx>
          <w:tblCellMar>
            <w:top w:w="0" w:type="dxa"/>
            <w:left w:w="28" w:type="dxa"/>
            <w:bottom w:w="0" w:type="dxa"/>
            <w:right w:w="28" w:type="dxa"/>
          </w:tblCellMar>
        </w:tblPrEx>
        <w:trPr>
          <w:wBefore w:w="0" w:type="auto"/>
          <w:trHeight w:val="23" w:hRule="atLeast"/>
        </w:trPr>
        <w:tc>
          <w:tcPr>
            <w:tcW w:w="2318" w:type="dxa"/>
            <w:tcBorders>
              <w:left w:val="single" w:color="000000" w:sz="2" w:space="0"/>
              <w:bottom w:val="single" w:color="000000" w:sz="2" w:space="0"/>
            </w:tcBorders>
            <w:shd w:val="clear" w:color="auto" w:fill="auto"/>
            <w:noWrap w:val="0"/>
            <w:vAlign w:val="top"/>
          </w:tcPr>
          <w:p>
            <w:pPr>
              <w:pStyle w:val="52"/>
            </w:pPr>
            <w:r>
              <w:rPr>
                <w:color w:val="auto"/>
              </w:rPr>
              <w:t>Подпрограммы Программы.</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Подпрограмма 1 «Развитие коммунальной инфраструктуры в Богородском муниципальном округе Нижегородской области».</w:t>
            </w:r>
          </w:p>
          <w:p>
            <w:pPr>
              <w:pStyle w:val="52"/>
              <w:jc w:val="both"/>
            </w:pPr>
            <w:r>
              <w:rPr>
                <w:color w:val="auto"/>
              </w:rPr>
              <w:t xml:space="preserve">Подпрограмма 2 «Капитальный ремонт общего имущества в многоквартирных домах». </w:t>
            </w:r>
          </w:p>
          <w:p>
            <w:pPr>
              <w:pStyle w:val="52"/>
              <w:jc w:val="both"/>
            </w:pPr>
            <w:r>
              <w:rPr>
                <w:color w:val="auto"/>
              </w:rPr>
              <w:t>Подпрограмма 3 «Экология»</w:t>
            </w:r>
          </w:p>
          <w:p>
            <w:pPr>
              <w:pStyle w:val="52"/>
              <w:jc w:val="both"/>
            </w:pPr>
            <w:r>
              <w:rPr>
                <w:color w:val="auto"/>
              </w:rPr>
              <w:t>Подпрограмма 4 «Обеспечение реализации муниципальной программы».</w:t>
            </w:r>
          </w:p>
        </w:tc>
      </w:tr>
      <w:tr>
        <w:tblPrEx>
          <w:tblCellMar>
            <w:top w:w="0" w:type="dxa"/>
            <w:left w:w="28" w:type="dxa"/>
            <w:bottom w:w="0" w:type="dxa"/>
            <w:right w:w="28" w:type="dxa"/>
          </w:tblCellMar>
        </w:tblPrEx>
        <w:trPr>
          <w:wBefore w:w="0" w:type="auto"/>
          <w:trHeight w:val="23" w:hRule="atLeast"/>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Цели Программы.</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Создание комфортной среды проживания и жизнедеятельности для человека, которая позволяет не только удовлетворять жилищные потребности, но и обеспечивает высокое качество жизни в целом.</w:t>
            </w:r>
          </w:p>
        </w:tc>
      </w:tr>
      <w:tr>
        <w:tblPrEx>
          <w:tblCellMar>
            <w:top w:w="0" w:type="dxa"/>
            <w:left w:w="28" w:type="dxa"/>
            <w:bottom w:w="0" w:type="dxa"/>
            <w:right w:w="28" w:type="dxa"/>
          </w:tblCellMar>
        </w:tblPrEx>
        <w:trPr>
          <w:wBefore w:w="0" w:type="auto"/>
          <w:trHeight w:val="3823" w:hRule="atLeast"/>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Задачи 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p>
            <w:pPr>
              <w:pStyle w:val="52"/>
              <w:jc w:val="both"/>
            </w:pPr>
            <w:r>
              <w:rPr>
                <w:color w:val="auto"/>
              </w:rPr>
              <w:t>-Обеспечение качественного и своевременного проведения капитального ремонта общего имущества в многоквартирном доме;</w:t>
            </w:r>
          </w:p>
          <w:p>
            <w:pPr>
              <w:pStyle w:val="52"/>
              <w:jc w:val="both"/>
            </w:pPr>
            <w:r>
              <w:rPr>
                <w:color w:val="auto"/>
              </w:rPr>
              <w:t>-Улучшение экологической обстановке в Богородском муниципальном округе Нижегородской области.</w:t>
            </w:r>
          </w:p>
          <w:p>
            <w:pPr>
              <w:pStyle w:val="49"/>
              <w:spacing w:after="283"/>
              <w:jc w:val="both"/>
            </w:pPr>
            <w:r>
              <w:t>-Создание необходимых условий для эффективной реализации муниципальной программы.</w:t>
            </w:r>
          </w:p>
        </w:tc>
      </w:tr>
      <w:tr>
        <w:tblPrEx>
          <w:tblCellMar>
            <w:top w:w="0" w:type="dxa"/>
            <w:left w:w="28" w:type="dxa"/>
            <w:bottom w:w="0" w:type="dxa"/>
            <w:right w:w="28" w:type="dxa"/>
          </w:tblCellMar>
        </w:tblPrEx>
        <w:trPr>
          <w:wBefore w:w="0" w:type="auto"/>
          <w:trHeight w:val="23" w:hRule="atLeast"/>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Этапы и сроки реализации 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2021-2027 годы, без разделения на этапы.</w:t>
            </w:r>
          </w:p>
        </w:tc>
      </w:tr>
      <w:tr>
        <w:tblPrEx>
          <w:tblCellMar>
            <w:top w:w="0" w:type="dxa"/>
            <w:left w:w="28" w:type="dxa"/>
            <w:bottom w:w="0" w:type="dxa"/>
            <w:right w:w="28" w:type="dxa"/>
          </w:tblCellMar>
        </w:tblPrEx>
        <w:trPr>
          <w:wBefore w:w="0" w:type="auto"/>
          <w:trHeight w:val="23" w:hRule="atLeast"/>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 xml:space="preserve">Объемы бюджетных ассигнований  Программы за счет  бюджета округа.(в разбивке по подпрограммам).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sz w:val="22"/>
                <w:szCs w:val="22"/>
              </w:rPr>
              <w:t>Предполагаемый общий объем финансовых средств, необходимых для реализации Программы составляет 38157,48 тыс. рублей, в том числе:</w:t>
            </w:r>
          </w:p>
          <w:p>
            <w:pPr>
              <w:pStyle w:val="52"/>
              <w:jc w:val="both"/>
            </w:pPr>
            <w:r>
              <w:rPr>
                <w:color w:val="auto"/>
                <w:sz w:val="22"/>
                <w:szCs w:val="22"/>
              </w:rPr>
              <w:t>2021 год – 23942,76тыс. рублей;</w:t>
            </w:r>
          </w:p>
          <w:p>
            <w:pPr>
              <w:pStyle w:val="52"/>
              <w:jc w:val="both"/>
            </w:pPr>
            <w:r>
              <w:rPr>
                <w:color w:val="auto"/>
                <w:sz w:val="22"/>
                <w:szCs w:val="22"/>
              </w:rPr>
              <w:t>2022 год – 11189,01тыс. рублей;</w:t>
            </w:r>
          </w:p>
          <w:p>
            <w:pPr>
              <w:pStyle w:val="52"/>
              <w:jc w:val="both"/>
            </w:pPr>
            <w:r>
              <w:rPr>
                <w:color w:val="auto"/>
                <w:sz w:val="22"/>
                <w:szCs w:val="22"/>
              </w:rPr>
              <w:t>2023 год –3025,71 тыс. рублей;</w:t>
            </w:r>
          </w:p>
          <w:p>
            <w:pPr>
              <w:pStyle w:val="52"/>
              <w:jc w:val="both"/>
            </w:pPr>
            <w:r>
              <w:rPr>
                <w:color w:val="auto"/>
                <w:sz w:val="22"/>
                <w:szCs w:val="22"/>
              </w:rPr>
              <w:t>2024 год –0,0 тыс. рублей;</w:t>
            </w:r>
          </w:p>
          <w:p>
            <w:pPr>
              <w:pStyle w:val="52"/>
              <w:jc w:val="both"/>
            </w:pPr>
            <w:r>
              <w:rPr>
                <w:color w:val="auto"/>
                <w:sz w:val="22"/>
                <w:szCs w:val="22"/>
              </w:rPr>
              <w:t>2025 год – 0,0 тыс. рублей;</w:t>
            </w:r>
          </w:p>
          <w:p>
            <w:pPr>
              <w:pStyle w:val="52"/>
              <w:jc w:val="both"/>
            </w:pPr>
            <w:r>
              <w:rPr>
                <w:color w:val="auto"/>
                <w:sz w:val="22"/>
                <w:szCs w:val="22"/>
              </w:rPr>
              <w:t>2026 год – 0,0 тыс. рублей;</w:t>
            </w:r>
          </w:p>
          <w:p>
            <w:pPr>
              <w:pStyle w:val="52"/>
              <w:jc w:val="both"/>
            </w:pPr>
            <w:r>
              <w:rPr>
                <w:color w:val="auto"/>
                <w:sz w:val="22"/>
                <w:szCs w:val="22"/>
              </w:rPr>
              <w:t>2027год- 0,0 тыс. рублей;</w:t>
            </w:r>
          </w:p>
          <w:p>
            <w:pPr>
              <w:pStyle w:val="52"/>
              <w:jc w:val="both"/>
            </w:pPr>
            <w:r>
              <w:rPr>
                <w:color w:val="auto"/>
                <w:sz w:val="22"/>
                <w:szCs w:val="22"/>
              </w:rPr>
              <w:t>В том числе:</w:t>
            </w:r>
          </w:p>
          <w:p>
            <w:pPr>
              <w:pStyle w:val="52"/>
              <w:jc w:val="both"/>
            </w:pPr>
            <w:r>
              <w:rPr>
                <w:color w:val="auto"/>
                <w:sz w:val="22"/>
                <w:szCs w:val="22"/>
              </w:rPr>
              <w:t xml:space="preserve">-предполагаемый общий объем финансовых средств, необходимых для реализации Подпрограммы1 «Развитие коммунальной инфраструктуры в  Богородском муниципальном округе Нижегородской области» всего 18652,28 тыс. рублей, в том числе </w:t>
            </w:r>
          </w:p>
          <w:p>
            <w:pPr>
              <w:pStyle w:val="52"/>
              <w:jc w:val="both"/>
            </w:pPr>
            <w:r>
              <w:rPr>
                <w:color w:val="auto"/>
                <w:sz w:val="22"/>
                <w:szCs w:val="22"/>
              </w:rPr>
              <w:t>2021 год – 18652,28 тыс. рублей;</w:t>
            </w:r>
          </w:p>
          <w:p>
            <w:pPr>
              <w:pStyle w:val="52"/>
              <w:jc w:val="both"/>
            </w:pPr>
            <w:r>
              <w:rPr>
                <w:color w:val="auto"/>
                <w:sz w:val="22"/>
                <w:szCs w:val="22"/>
              </w:rPr>
              <w:t>2022 год –  0,0 тыс. рублей;</w:t>
            </w:r>
          </w:p>
          <w:p>
            <w:pPr>
              <w:pStyle w:val="52"/>
              <w:jc w:val="both"/>
            </w:pPr>
            <w:r>
              <w:rPr>
                <w:color w:val="auto"/>
                <w:sz w:val="22"/>
                <w:szCs w:val="22"/>
              </w:rPr>
              <w:t>2023 год –0,0  тыс. рублей;</w:t>
            </w:r>
          </w:p>
          <w:p>
            <w:pPr>
              <w:pStyle w:val="52"/>
              <w:jc w:val="both"/>
            </w:pPr>
            <w:r>
              <w:rPr>
                <w:color w:val="auto"/>
                <w:sz w:val="22"/>
                <w:szCs w:val="22"/>
              </w:rPr>
              <w:t>2024 год –0,0 тыс. рублей;</w:t>
            </w:r>
          </w:p>
          <w:p>
            <w:pPr>
              <w:pStyle w:val="52"/>
              <w:jc w:val="both"/>
            </w:pPr>
            <w:r>
              <w:rPr>
                <w:color w:val="auto"/>
                <w:sz w:val="22"/>
                <w:szCs w:val="22"/>
              </w:rPr>
              <w:t>2025 год –  0,0тыс. рублей;</w:t>
            </w:r>
          </w:p>
          <w:p>
            <w:pPr>
              <w:pStyle w:val="52"/>
              <w:jc w:val="both"/>
            </w:pPr>
            <w:r>
              <w:rPr>
                <w:color w:val="auto"/>
                <w:sz w:val="22"/>
                <w:szCs w:val="22"/>
              </w:rPr>
              <w:t>2026 год –0,0  тыс. рублей;</w:t>
            </w:r>
          </w:p>
          <w:p>
            <w:pPr>
              <w:pStyle w:val="52"/>
              <w:jc w:val="both"/>
            </w:pPr>
            <w:r>
              <w:rPr>
                <w:color w:val="auto"/>
                <w:sz w:val="22"/>
                <w:szCs w:val="22"/>
              </w:rPr>
              <w:t>2027год-   0,0тыс. рублей;</w:t>
            </w:r>
          </w:p>
          <w:p>
            <w:pPr>
              <w:pStyle w:val="52"/>
              <w:jc w:val="both"/>
            </w:pPr>
            <w:r>
              <w:rPr>
                <w:color w:val="auto"/>
                <w:sz w:val="22"/>
                <w:szCs w:val="22"/>
              </w:rPr>
              <w:t>-предполагаемый общий объем финансовых средств, необходимых для реализации Подпрограммы 2 «Капитальный ремонт общего имущества в многоквартирных домах» всего 8597,13 тыс. рублей, в том числе:</w:t>
            </w:r>
          </w:p>
          <w:p>
            <w:pPr>
              <w:pStyle w:val="52"/>
              <w:jc w:val="both"/>
            </w:pPr>
            <w:r>
              <w:rPr>
                <w:color w:val="auto"/>
                <w:sz w:val="22"/>
                <w:szCs w:val="22"/>
              </w:rPr>
              <w:t>2021 год –  2865,71тыс. рублей;</w:t>
            </w:r>
          </w:p>
          <w:p>
            <w:pPr>
              <w:pStyle w:val="52"/>
              <w:jc w:val="both"/>
            </w:pPr>
            <w:r>
              <w:rPr>
                <w:color w:val="auto"/>
                <w:sz w:val="22"/>
                <w:szCs w:val="22"/>
              </w:rPr>
              <w:t>2022 год – 2865,71 тыс. рублей;</w:t>
            </w:r>
          </w:p>
          <w:p>
            <w:pPr>
              <w:pStyle w:val="52"/>
              <w:jc w:val="both"/>
            </w:pPr>
            <w:r>
              <w:rPr>
                <w:color w:val="auto"/>
                <w:sz w:val="22"/>
                <w:szCs w:val="22"/>
              </w:rPr>
              <w:t>2023 год – 2865,71тыс. рублей;</w:t>
            </w:r>
          </w:p>
          <w:p>
            <w:pPr>
              <w:pStyle w:val="52"/>
              <w:jc w:val="both"/>
            </w:pPr>
            <w:r>
              <w:rPr>
                <w:color w:val="auto"/>
                <w:sz w:val="22"/>
                <w:szCs w:val="22"/>
              </w:rPr>
              <w:t>2024 год – 0,0 тыс. рублей;</w:t>
            </w:r>
          </w:p>
          <w:p>
            <w:pPr>
              <w:pStyle w:val="52"/>
              <w:jc w:val="both"/>
            </w:pPr>
            <w:r>
              <w:rPr>
                <w:color w:val="auto"/>
                <w:sz w:val="22"/>
                <w:szCs w:val="22"/>
              </w:rPr>
              <w:t>2025 год –  0,0 тыс. рублей;</w:t>
            </w:r>
          </w:p>
          <w:p>
            <w:pPr>
              <w:pStyle w:val="52"/>
              <w:jc w:val="both"/>
            </w:pPr>
            <w:r>
              <w:rPr>
                <w:color w:val="auto"/>
                <w:sz w:val="22"/>
                <w:szCs w:val="22"/>
              </w:rPr>
              <w:t>2026 год – 0,0  тыс. рублей;</w:t>
            </w:r>
          </w:p>
          <w:p>
            <w:pPr>
              <w:pStyle w:val="52"/>
              <w:jc w:val="both"/>
            </w:pPr>
            <w:r>
              <w:rPr>
                <w:color w:val="auto"/>
                <w:sz w:val="22"/>
                <w:szCs w:val="22"/>
              </w:rPr>
              <w:t>2027год- 0,0   тыс. рублей;</w:t>
            </w:r>
          </w:p>
          <w:p>
            <w:pPr>
              <w:pStyle w:val="52"/>
              <w:jc w:val="both"/>
            </w:pPr>
            <w:r>
              <w:rPr>
                <w:color w:val="auto"/>
                <w:sz w:val="22"/>
                <w:szCs w:val="22"/>
              </w:rPr>
              <w:t>-предполагаемый общий объем финансовых средств, необходимых для реализации Подпрограммы 3 «Экология» всего 10908,07тыс. рублей, в том числе:</w:t>
            </w:r>
          </w:p>
          <w:p>
            <w:pPr>
              <w:pStyle w:val="52"/>
              <w:jc w:val="both"/>
            </w:pPr>
            <w:r>
              <w:rPr>
                <w:color w:val="auto"/>
                <w:sz w:val="22"/>
                <w:szCs w:val="22"/>
              </w:rPr>
              <w:t>2021 год – 2424,77 тыс. рублей;</w:t>
            </w:r>
          </w:p>
          <w:p>
            <w:pPr>
              <w:pStyle w:val="52"/>
              <w:jc w:val="both"/>
            </w:pPr>
            <w:r>
              <w:rPr>
                <w:color w:val="auto"/>
                <w:sz w:val="22"/>
                <w:szCs w:val="22"/>
              </w:rPr>
              <w:t>2022 год –  8323,3тыс. рублей;</w:t>
            </w:r>
          </w:p>
          <w:p>
            <w:pPr>
              <w:pStyle w:val="52"/>
              <w:jc w:val="both"/>
            </w:pPr>
            <w:r>
              <w:rPr>
                <w:color w:val="auto"/>
                <w:sz w:val="22"/>
                <w:szCs w:val="22"/>
              </w:rPr>
              <w:t>2023 год – 160,0тыс. рублей;</w:t>
            </w:r>
          </w:p>
          <w:p>
            <w:pPr>
              <w:pStyle w:val="52"/>
              <w:jc w:val="both"/>
            </w:pPr>
            <w:r>
              <w:rPr>
                <w:color w:val="auto"/>
                <w:sz w:val="22"/>
                <w:szCs w:val="22"/>
              </w:rPr>
              <w:t>2024 год – 0,0тыс. рублей;</w:t>
            </w:r>
          </w:p>
          <w:p>
            <w:pPr>
              <w:pStyle w:val="52"/>
              <w:jc w:val="both"/>
            </w:pPr>
            <w:r>
              <w:rPr>
                <w:color w:val="auto"/>
                <w:sz w:val="22"/>
                <w:szCs w:val="22"/>
              </w:rPr>
              <w:t>2025 год – 0 ,0тыс. рублей;</w:t>
            </w:r>
          </w:p>
          <w:p>
            <w:pPr>
              <w:pStyle w:val="52"/>
              <w:jc w:val="both"/>
            </w:pPr>
            <w:r>
              <w:rPr>
                <w:color w:val="auto"/>
                <w:sz w:val="22"/>
                <w:szCs w:val="22"/>
              </w:rPr>
              <w:t>2026 год – 0 ,0тыс. рублей;</w:t>
            </w:r>
          </w:p>
          <w:p>
            <w:pPr>
              <w:pStyle w:val="52"/>
              <w:jc w:val="both"/>
            </w:pPr>
            <w:r>
              <w:rPr>
                <w:color w:val="auto"/>
                <w:sz w:val="22"/>
                <w:szCs w:val="22"/>
              </w:rPr>
              <w:t>2027год-  0,0 тыс. рублей;</w:t>
            </w:r>
          </w:p>
          <w:p>
            <w:pPr>
              <w:pStyle w:val="52"/>
              <w:jc w:val="both"/>
            </w:pPr>
            <w:r>
              <w:rPr>
                <w:color w:val="auto"/>
                <w:sz w:val="22"/>
                <w:szCs w:val="22"/>
              </w:rPr>
              <w:t>-предполагаемый общий объем финансовых средств, необходимых для реализации Подпрограммы 4 «Обеспечение реализации муниципальной программы»«  всего 0,0тыс. рублей, в том числе:</w:t>
            </w:r>
          </w:p>
          <w:p>
            <w:pPr>
              <w:pStyle w:val="52"/>
              <w:jc w:val="both"/>
            </w:pPr>
            <w:r>
              <w:rPr>
                <w:color w:val="auto"/>
                <w:sz w:val="22"/>
                <w:szCs w:val="22"/>
              </w:rPr>
              <w:t>2021 год –  0,0тыс. рублей;</w:t>
            </w:r>
          </w:p>
          <w:p>
            <w:pPr>
              <w:pStyle w:val="52"/>
              <w:jc w:val="both"/>
            </w:pPr>
            <w:r>
              <w:rPr>
                <w:color w:val="auto"/>
                <w:sz w:val="22"/>
                <w:szCs w:val="22"/>
              </w:rPr>
              <w:t>2022 год –  0,0тыс. рублей;</w:t>
            </w:r>
          </w:p>
          <w:p>
            <w:pPr>
              <w:pStyle w:val="52"/>
              <w:jc w:val="both"/>
            </w:pPr>
            <w:r>
              <w:rPr>
                <w:color w:val="auto"/>
                <w:sz w:val="22"/>
                <w:szCs w:val="22"/>
              </w:rPr>
              <w:t>2023 год – 0,0тыс. рублей;</w:t>
            </w:r>
          </w:p>
          <w:p>
            <w:pPr>
              <w:pStyle w:val="52"/>
              <w:jc w:val="both"/>
            </w:pPr>
            <w:r>
              <w:rPr>
                <w:color w:val="auto"/>
                <w:sz w:val="22"/>
                <w:szCs w:val="22"/>
              </w:rPr>
              <w:t>2024 год – 0,0тыс. рублей;</w:t>
            </w:r>
          </w:p>
          <w:p>
            <w:pPr>
              <w:pStyle w:val="52"/>
              <w:jc w:val="both"/>
            </w:pPr>
            <w:r>
              <w:rPr>
                <w:color w:val="auto"/>
                <w:sz w:val="22"/>
                <w:szCs w:val="22"/>
              </w:rPr>
              <w:t>2025 год – 0 ,0тыс. рублей;</w:t>
            </w:r>
          </w:p>
          <w:p>
            <w:pPr>
              <w:pStyle w:val="52"/>
              <w:jc w:val="both"/>
            </w:pPr>
            <w:r>
              <w:rPr>
                <w:color w:val="auto"/>
                <w:sz w:val="22"/>
                <w:szCs w:val="22"/>
              </w:rPr>
              <w:t>2026 год – 0 ,0тыс. рублей;</w:t>
            </w:r>
          </w:p>
          <w:p>
            <w:pPr>
              <w:pStyle w:val="52"/>
              <w:jc w:val="both"/>
            </w:pPr>
            <w:r>
              <w:rPr>
                <w:color w:val="auto"/>
                <w:sz w:val="22"/>
                <w:szCs w:val="22"/>
              </w:rPr>
              <w:t>2027год-  0,0 тыс. рублей;</w:t>
            </w:r>
          </w:p>
        </w:tc>
      </w:tr>
      <w:tr>
        <w:tblPrEx>
          <w:tblCellMar>
            <w:top w:w="0" w:type="dxa"/>
            <w:left w:w="28" w:type="dxa"/>
            <w:bottom w:w="0" w:type="dxa"/>
            <w:right w:w="28" w:type="dxa"/>
          </w:tblCellMar>
        </w:tblPrEx>
        <w:trPr>
          <w:wBefore w:w="0" w:type="auto"/>
          <w:trHeight w:val="23" w:hRule="atLeast"/>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Индикаторы достижения цели и показатели непосредственных результатов Программы</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ind w:firstLine="36"/>
              <w:jc w:val="both"/>
            </w:pPr>
            <w:r>
              <w:rPr>
                <w:color w:val="auto"/>
              </w:rPr>
              <w:t>По итогам реализации Подпрограммы 1 « Развитие коммунальной инфраструктуры в Богородском муниципальном округе Нижегородской области»  будут достигнуты следующие значения индикаторов.</w:t>
            </w:r>
          </w:p>
          <w:p>
            <w:pPr>
              <w:pStyle w:val="52"/>
              <w:ind w:firstLine="36"/>
              <w:jc w:val="both"/>
            </w:pPr>
            <w:r>
              <w:rPr>
                <w:color w:val="auto"/>
              </w:rPr>
              <w:t>Индикаторы:</w:t>
            </w:r>
          </w:p>
          <w:p>
            <w:pPr>
              <w:pStyle w:val="52"/>
              <w:ind w:firstLine="36"/>
              <w:jc w:val="both"/>
            </w:pPr>
            <w:r>
              <w:rPr>
                <w:color w:val="auto"/>
              </w:rPr>
              <w:t>Доля неочищенных стоков в п. Инютино, за счет строительства локальных очистных сооружений, сократится  на 100%</w:t>
            </w:r>
          </w:p>
          <w:p>
            <w:pPr>
              <w:pStyle w:val="52"/>
              <w:ind w:firstLine="36"/>
              <w:jc w:val="both"/>
            </w:pPr>
            <w:r>
              <w:rPr>
                <w:color w:val="auto"/>
              </w:rPr>
              <w:t>Непосредственные результаты:</w:t>
            </w:r>
          </w:p>
          <w:p>
            <w:pPr>
              <w:pStyle w:val="52"/>
              <w:ind w:firstLine="36"/>
              <w:jc w:val="both"/>
            </w:pPr>
            <w:r>
              <w:rPr>
                <w:color w:val="auto"/>
              </w:rPr>
              <w:t>Локальные очистные сооружения в п. Инютино, производительностью 300 м куб. /сут.</w:t>
            </w:r>
          </w:p>
          <w:p>
            <w:pPr>
              <w:pStyle w:val="52"/>
              <w:ind w:firstLine="36"/>
              <w:jc w:val="both"/>
            </w:pPr>
            <w:r>
              <w:rPr>
                <w:color w:val="auto"/>
              </w:rPr>
              <w:t>По итогам реализации Подпрограммы 2 «Капитальный ремонт общего имущества в многоквартирных домах» будут достигнуты следующие значения индикаторов и показатели непосредственных результатов:</w:t>
            </w:r>
          </w:p>
          <w:p>
            <w:pPr>
              <w:pStyle w:val="52"/>
              <w:ind w:firstLine="36"/>
              <w:jc w:val="both"/>
            </w:pPr>
            <w:r>
              <w:rPr>
                <w:color w:val="auto"/>
              </w:rPr>
              <w:t>Индикаторы:</w:t>
            </w:r>
          </w:p>
          <w:p>
            <w:pPr>
              <w:pStyle w:val="52"/>
              <w:ind w:firstLine="36"/>
              <w:jc w:val="both"/>
            </w:pPr>
            <w:r>
              <w:rPr>
                <w:color w:val="auto"/>
              </w:rPr>
              <w:t>1. Площадь муниципальных жилых и нежилых помещений в МКД(в отношении МКД, включенных в региональную программу капитального ремонта)-30504,01кв.м.</w:t>
            </w:r>
          </w:p>
          <w:p>
            <w:pPr>
              <w:pStyle w:val="52"/>
              <w:ind w:firstLine="36"/>
              <w:jc w:val="both"/>
            </w:pPr>
            <w:r>
              <w:rPr>
                <w:color w:val="auto"/>
              </w:rPr>
              <w:t>2. Количество МКД, с долей муниципальных жилых и нежилых помещений включенных в краткосрочный план капитального ремонта в период реализации Программы -46 ед.</w:t>
            </w:r>
          </w:p>
          <w:p>
            <w:pPr>
              <w:pStyle w:val="52"/>
              <w:ind w:firstLine="36"/>
              <w:jc w:val="both"/>
            </w:pPr>
            <w:r>
              <w:rPr>
                <w:color w:val="auto"/>
              </w:rPr>
              <w:t>Непосредственные результаты:</w:t>
            </w:r>
          </w:p>
          <w:p>
            <w:pPr>
              <w:pStyle w:val="52"/>
              <w:ind w:firstLine="36"/>
              <w:jc w:val="both"/>
            </w:pPr>
            <w:r>
              <w:rPr>
                <w:color w:val="auto"/>
              </w:rPr>
              <w:t>1.Количество МКД, с долей муниципальных жилых и нежилых помещений, в которых выполнены виды работ капитального характера, в рамках краткосрочного плана -46 ед.</w:t>
            </w:r>
          </w:p>
          <w:p>
            <w:pPr>
              <w:pStyle w:val="52"/>
              <w:ind w:firstLine="36"/>
              <w:jc w:val="both"/>
            </w:pPr>
            <w:r>
              <w:rPr>
                <w:color w:val="auto"/>
              </w:rPr>
              <w:t>2. Площадь муниципальных жилых и нежилых помещений в МКД, в которых выполнены виды работ капитального характера, в рамках краткосрочного плана -3965,5 кв.м</w:t>
            </w:r>
          </w:p>
          <w:p>
            <w:pPr>
              <w:pStyle w:val="52"/>
              <w:ind w:firstLine="36"/>
              <w:jc w:val="both"/>
            </w:pPr>
            <w:r>
              <w:rPr>
                <w:color w:val="auto"/>
              </w:rPr>
              <w:t xml:space="preserve">По итогам реализации Подпрограммы 3 «Экология» будут достигнуты следующие значения индикаторов </w:t>
            </w:r>
          </w:p>
          <w:p>
            <w:pPr>
              <w:pStyle w:val="52"/>
              <w:ind w:firstLine="36"/>
              <w:jc w:val="both"/>
            </w:pPr>
            <w:r>
              <w:rPr>
                <w:color w:val="auto"/>
              </w:rPr>
              <w:t>Индикаторы: Увеличение производительности очистных сооружений, за счет развития централизованных сетей водоотведения на 40%</w:t>
            </w:r>
          </w:p>
          <w:p>
            <w:pPr>
              <w:pStyle w:val="52"/>
              <w:ind w:firstLine="36"/>
              <w:jc w:val="both"/>
            </w:pPr>
            <w:r>
              <w:rPr>
                <w:color w:val="auto"/>
              </w:rPr>
              <w:t>Непосредственные результаты: Производительность очистных сооружений Богородского муниципального округа до 15 тыс. м куб/сутки</w:t>
            </w:r>
          </w:p>
          <w:p>
            <w:pPr>
              <w:pStyle w:val="52"/>
              <w:ind w:firstLine="36"/>
              <w:jc w:val="both"/>
            </w:pPr>
            <w:r>
              <w:rPr>
                <w:color w:val="auto"/>
              </w:rPr>
              <w:t>Непосредственным результатом Подпрограммы 4 «Обеспечение реализации муниципальной программы» является обеспечение выполнения задач, мероприятий и показателей, предусмотренные муниципальной программой и ее подпрограммами за период ее реализации.</w:t>
            </w:r>
          </w:p>
        </w:tc>
      </w:tr>
    </w:tbl>
    <w:p>
      <w:pPr>
        <w:pStyle w:val="52"/>
        <w:jc w:val="center"/>
        <w:rPr>
          <w:b/>
          <w:bCs/>
          <w:color w:val="auto"/>
        </w:rPr>
      </w:pPr>
    </w:p>
    <w:p>
      <w:pPr>
        <w:pStyle w:val="52"/>
        <w:jc w:val="center"/>
      </w:pPr>
      <w:r>
        <w:rPr>
          <w:b/>
          <w:bCs/>
          <w:color w:val="auto"/>
        </w:rPr>
        <w:t>2. Текущее состояние сферы реализации Программы</w:t>
      </w:r>
    </w:p>
    <w:p>
      <w:pPr>
        <w:pStyle w:val="52"/>
        <w:ind w:firstLine="300"/>
        <w:jc w:val="both"/>
        <w:rPr>
          <w:b/>
          <w:bCs/>
          <w:color w:val="auto"/>
        </w:rPr>
      </w:pPr>
    </w:p>
    <w:p>
      <w:pPr>
        <w:pStyle w:val="52"/>
        <w:jc w:val="center"/>
      </w:pPr>
      <w:r>
        <w:rPr>
          <w:b/>
          <w:bCs/>
          <w:color w:val="auto"/>
        </w:rPr>
        <w:t>2.1. Характеристика текущего состояния</w:t>
      </w:r>
    </w:p>
    <w:p>
      <w:pPr>
        <w:pStyle w:val="52"/>
        <w:ind w:firstLine="720"/>
        <w:jc w:val="both"/>
      </w:pPr>
      <w:r>
        <w:rPr>
          <w:color w:val="auto"/>
        </w:rPr>
        <w:t xml:space="preserve">Объем жилищного фонда в Богородском муниципальном округе Нижегородской области составляет 2186,92 тыс. кв. м., в том числе в муниципальной собственности находится 41,9 тыс. кв.м. (1,9%); в государственной собственности – 8,4 тыс.м. (0,4%); самый большой объем находится в частной собственности – 2136,6 тыс. кв.м. (97,7%). </w:t>
      </w:r>
    </w:p>
    <w:p>
      <w:pPr>
        <w:pStyle w:val="52"/>
        <w:ind w:firstLine="720"/>
        <w:jc w:val="both"/>
      </w:pPr>
      <w:r>
        <w:rPr>
          <w:color w:val="auto"/>
        </w:rPr>
        <w:t xml:space="preserve">Реформирование жилищно-коммунального хозяйства в Богородском муниципальном округе Нижегородской области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домами, финансового оздоровления организаций жилищно-коммунального хозяйства,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 Тем не менее, конечные цели реформы - обеспечение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 на сегодняшний день не достигнуты. Объекты коммунальной инфраструктуры находятся в изношенном состоянии. </w:t>
      </w:r>
      <w:r>
        <w:rPr>
          <w:color w:val="auto"/>
        </w:rPr>
        <w:tab/>
      </w:r>
    </w:p>
    <w:p>
      <w:pPr>
        <w:pStyle w:val="52"/>
        <w:ind w:firstLine="720"/>
        <w:jc w:val="both"/>
      </w:pPr>
      <w:r>
        <w:rPr>
          <w:color w:val="auto"/>
        </w:rPr>
        <w:t>Протяженность водопроводных сетей составляет 316,5 км, канализационных сетей – 155,9 км, установленная производственная мощность водопровода 16,2 тыс.куб. м. в сутки , Износ  водопроводных сетей составляет  65,0%, износ канализационных сетей составляет 70,0%, В результате накопленного износа растет вероятность увеличения аварий в системах  водоснабжения и водоотведения.</w:t>
      </w:r>
    </w:p>
    <w:p>
      <w:pPr>
        <w:pStyle w:val="52"/>
        <w:ind w:firstLine="720"/>
        <w:jc w:val="both"/>
      </w:pPr>
      <w:r>
        <w:rPr>
          <w:color w:val="auto"/>
        </w:rPr>
        <w:t>Обеспечение населения чистой питьевой водой нормативного качества, безопасность водопользования являются одним из главных приоритетов социальной политики Богородского муниципального округа Нижегородской области, лежат в основе здоровья и благополучия человека. При этом безопасность питьевого водоснабжения - важнейшая составляющая здоровья населения.</w:t>
      </w:r>
    </w:p>
    <w:p>
      <w:pPr>
        <w:pStyle w:val="52"/>
        <w:ind w:firstLine="720"/>
        <w:jc w:val="both"/>
      </w:pPr>
      <w:r>
        <w:rPr>
          <w:color w:val="auto"/>
        </w:rPr>
        <w:t xml:space="preserve">Повышение уровня антропогенного загрязнения территории источников питьевого водоснабжения, ужесточение нормативов качества питьевой воды, значительный износ сооружений и оборудования водного сектора, определяют актуальность проблемы гарантированного обеспечения жителей Богородского муниципального округа Нижегородской области чистой питьевой водой и выводят ее в приоритетные задачи социально-экономического развития Богородского муниципального округа Нижегородской области. </w:t>
      </w:r>
    </w:p>
    <w:p>
      <w:pPr>
        <w:pStyle w:val="52"/>
        <w:ind w:firstLine="720"/>
        <w:jc w:val="both"/>
      </w:pPr>
      <w:r>
        <w:rPr>
          <w:color w:val="auto"/>
        </w:rPr>
        <w:t>Масштабность проблемы определяет необходимость использования программно</w:t>
      </w:r>
      <w:r>
        <w:rPr>
          <w:b/>
          <w:color w:val="auto"/>
        </w:rPr>
        <w:t>-</w:t>
      </w:r>
      <w:r>
        <w:rPr>
          <w:color w:val="auto"/>
        </w:rPr>
        <w:t>целевого решения комплекса организационно-технических, правовых, экономических, социальных, научных и других задач и мероприятий, обеспечивающих условия реализации Программы, поскольку они:</w:t>
      </w:r>
    </w:p>
    <w:p>
      <w:pPr>
        <w:pStyle w:val="52"/>
        <w:ind w:firstLine="720"/>
        <w:jc w:val="both"/>
      </w:pPr>
      <w:r>
        <w:rPr>
          <w:color w:val="auto"/>
        </w:rPr>
        <w:t xml:space="preserve">- входят в число приоритетов социальной политики Богородского муниципального округа Нижегородской области; </w:t>
      </w:r>
    </w:p>
    <w:p>
      <w:pPr>
        <w:pStyle w:val="52"/>
        <w:ind w:firstLine="720"/>
        <w:jc w:val="both"/>
      </w:pPr>
      <w:r>
        <w:rPr>
          <w:color w:val="auto"/>
        </w:rPr>
        <w:t xml:space="preserve">- не могут быть решены в пределах одного финансового года и требуют значительных бюджетных расходов; </w:t>
      </w:r>
    </w:p>
    <w:p>
      <w:pPr>
        <w:pStyle w:val="52"/>
        <w:ind w:firstLine="720"/>
        <w:jc w:val="both"/>
      </w:pPr>
      <w:r>
        <w:rPr>
          <w:color w:val="auto"/>
        </w:rPr>
        <w:t xml:space="preserve">- требуют проведения институциональных преобразований, направленных на обеспечение рыночных отношений в водном секторе; </w:t>
      </w:r>
    </w:p>
    <w:p>
      <w:pPr>
        <w:pStyle w:val="52"/>
        <w:ind w:firstLine="720"/>
        <w:jc w:val="both"/>
      </w:pPr>
      <w:r>
        <w:rPr>
          <w:color w:val="auto"/>
        </w:rPr>
        <w:t xml:space="preserve">- требуют проведения единой технической политики, направленной на внедрение в водном секторе наиболее прогрессивных, наилучших, доступных технологий, современного оборудования; </w:t>
      </w:r>
    </w:p>
    <w:p>
      <w:pPr>
        <w:pStyle w:val="52"/>
        <w:ind w:firstLine="720"/>
        <w:jc w:val="both"/>
      </w:pPr>
      <w:r>
        <w:rPr>
          <w:color w:val="auto"/>
        </w:rPr>
        <w:t>- носят комплексный, масштабный характер, а их решение окажет существенное положительное влияние на социальное благополучие жителей Богородского муниципального округа Нижегородской области, экологическую безопасность, увеличение продолжительности жизни, дальнейшее экономическое развитие Богородского муниципального округа Нижегородской области.</w:t>
      </w:r>
    </w:p>
    <w:p>
      <w:pPr>
        <w:pStyle w:val="52"/>
        <w:ind w:firstLine="720"/>
        <w:jc w:val="both"/>
      </w:pPr>
      <w:r>
        <w:rPr>
          <w:color w:val="auto"/>
        </w:rPr>
        <w:t>Эффективное использование и охрана водных ресурсов - это проблема, которую невозможно успешно решить только в рамках одного года.</w:t>
      </w:r>
    </w:p>
    <w:p>
      <w:pPr>
        <w:pStyle w:val="52"/>
        <w:ind w:firstLine="720"/>
        <w:jc w:val="both"/>
      </w:pPr>
      <w:r>
        <w:rPr>
          <w:color w:val="auto"/>
        </w:rPr>
        <w:t>Муниципальная программа должна обеспечить эффективное решение системных проблем в водном секторе Богородского муниципального округа Нижегородской области  за счет реализации комплекса программных мероприятий, увязанных по задачам, ресурсам и срокам.</w:t>
      </w:r>
    </w:p>
    <w:p>
      <w:pPr>
        <w:pStyle w:val="52"/>
        <w:ind w:firstLine="720"/>
        <w:jc w:val="both"/>
      </w:pPr>
      <w:r>
        <w:rPr>
          <w:color w:val="auto"/>
        </w:rPr>
        <w:t>На территории Богородского муниципального округа Нижегородской области 47 котельных осуществляют теплоснабжение объектов жилищного фонда и социальной сферы. Передача теплоносителя производится по тепловым сетям протяженностью 49,2</w:t>
      </w:r>
      <w:r>
        <w:rPr>
          <w:color w:val="auto"/>
          <w:highlight w:val="yellow"/>
        </w:rPr>
        <w:t xml:space="preserve"> </w:t>
      </w:r>
      <w:r>
        <w:rPr>
          <w:color w:val="auto"/>
        </w:rPr>
        <w:t xml:space="preserve">км. в двухтрубном исчислении, суммарная мощность источников теплоснабжения 177,7 гкал/час. Износ основных производственных фондов котельных в среднем составляет порядка 60%.Значительный физический износ трубопроводов тепловых сетей и оборудования котельных, морально устаревшая структура построения систем централизованного теплоснабжения выдвигают, наряду с задачей скорейшей замены изношенного оборудования, неотложную задачу оптимизации схемно-технических решений и режимов функционирования этих систем. </w:t>
      </w:r>
    </w:p>
    <w:p>
      <w:pPr>
        <w:pStyle w:val="52"/>
        <w:ind w:firstLine="720"/>
        <w:jc w:val="both"/>
      </w:pPr>
      <w:r>
        <w:rPr>
          <w:color w:val="auto"/>
        </w:rPr>
        <w:t>В соответствии с ФЗ -131 от 06.10.2003  «Об общих принципах организации местного самоуправления в Российской Федерации» к полномочиям органов местного самоуправления  муниципальных  округов относятся  организация водоснабжения и водоотведения на соответствующих территориях. На сегодняшний день 71 населенный пункт Богородского муниципального округа не имеют водопроводных сетей. Для питьевых и хозяйственных нужд населения на данных территориях используют  воды подземных источников, забираемых с помощью различных сооружений и устройств, открытых для общего пользования , без подачи ее к месту расходования.  Вода источников нецентрализованного водоснабжения употребляется населением без предварительной очистки. Она должна быть безопасной по эпидемическим показателям, безвредной по химическому составу, иметь благоприятные органолептические свойства. В связи с этим необходимо проводить работы по ремонту и восстановление источников.</w:t>
      </w:r>
    </w:p>
    <w:p>
      <w:pPr>
        <w:pStyle w:val="52"/>
        <w:ind w:firstLine="720"/>
        <w:jc w:val="both"/>
      </w:pPr>
      <w:r>
        <w:rPr>
          <w:color w:val="auto"/>
        </w:rPr>
        <w:t>Значительная часть многоквартирных домов, расположенных на территории округа нуждается в капитальном ремонте. В соответствии с Жилищным кодексом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 Установление минимального размера взноса на капитальный ремонт общего имущества в многоквартирном доме отнесено к полномочиям органов государственной власти Нижегородской области. Собственники помещений в многоквартирном доме вправе выбрать один из способов формирования фонда капитального ремонта (перечисление взносов на капитальный ремонт на специальный счет, перечисление взносов на капитальный ремонт на счет регионального оператора). Постановлением Правительства Нижегородской области от 01.04.2014 года № 208 утверждена государственная региональная адресная программа по проведению капитального ремонта общего имущества в многоквартирных домах, расположенных на территории Нижегородской области.</w:t>
      </w:r>
      <w:r>
        <w:rPr>
          <w:color w:val="auto"/>
          <w:highlight w:val="yellow"/>
        </w:rPr>
        <w:t xml:space="preserve"> </w:t>
      </w:r>
    </w:p>
    <w:p>
      <w:pPr>
        <w:ind w:firstLine="720"/>
        <w:jc w:val="both"/>
      </w:pPr>
      <w:r>
        <w:t>Проблемы в сфере обращения с отходами приводят к неблагоприятным экологическим и экономическим последствиям, негативному воздействию на окружающую среду, способствуют нарастанию социальной напряженности.</w:t>
      </w:r>
      <w:bookmarkStart w:id="0" w:name="redstr18"/>
      <w:bookmarkEnd w:id="0"/>
      <w:r>
        <w:t xml:space="preserve"> </w:t>
      </w:r>
    </w:p>
    <w:p>
      <w:pPr>
        <w:ind w:firstLine="720"/>
        <w:jc w:val="both"/>
      </w:pPr>
      <w:r>
        <w:t>Основными причинами, которые обуславливали развитие в Богородском муниципальном округе негативной ситуации в сфере обращения с отходами в 2000-ых годах, являлись:</w:t>
      </w:r>
      <w:bookmarkStart w:id="1" w:name="redstr17"/>
      <w:bookmarkEnd w:id="1"/>
    </w:p>
    <w:p>
      <w:pPr>
        <w:ind w:firstLine="720"/>
        <w:jc w:val="both"/>
      </w:pPr>
      <w:r>
        <w:t>- скачкообразный рост потребления населением товаров;</w:t>
      </w:r>
    </w:p>
    <w:p>
      <w:pPr>
        <w:ind w:firstLine="720"/>
        <w:jc w:val="both"/>
      </w:pPr>
      <w:bookmarkStart w:id="2" w:name="redstr16"/>
      <w:bookmarkEnd w:id="2"/>
      <w:r>
        <w:t>- изменившаяся структура потребления населения. Изменение структуры обусловлено увеличением доли различного рода упаковки в структуре отходов, а также увеличением доли новых видов отходов, до этого не свойственных прежней структуре потребления;</w:t>
      </w:r>
    </w:p>
    <w:p>
      <w:pPr>
        <w:ind w:firstLine="720"/>
        <w:jc w:val="both"/>
      </w:pPr>
      <w:bookmarkStart w:id="3" w:name="redstr15"/>
      <w:bookmarkEnd w:id="3"/>
      <w:r>
        <w:t>- накопленные проблемы предшествующих периодов (наличие значительного количества отходов, не утилизированных из-за отсутствия соответствующих технологий);</w:t>
      </w:r>
    </w:p>
    <w:p>
      <w:pPr>
        <w:ind w:firstLine="720"/>
        <w:jc w:val="both"/>
      </w:pPr>
      <w:bookmarkStart w:id="4" w:name="redstr14"/>
      <w:bookmarkEnd w:id="4"/>
      <w:r>
        <w:t>- устаревшая и не отвечающая современному состоянию технология накопления и утилизации отходов;</w:t>
      </w:r>
    </w:p>
    <w:p>
      <w:pPr>
        <w:ind w:firstLine="720"/>
        <w:jc w:val="both"/>
      </w:pPr>
      <w:bookmarkStart w:id="5" w:name="redstr12"/>
      <w:bookmarkEnd w:id="5"/>
      <w:r>
        <w:t>- недостаточный контроль над сферой образования отходов, отсутствие действенной системы учета и анализа потоков отходов на всех уровнях их образования, что приводило к несанкционированному размещению отходов в окружающей среде;</w:t>
      </w:r>
    </w:p>
    <w:p>
      <w:pPr>
        <w:ind w:firstLine="720"/>
        <w:jc w:val="both"/>
      </w:pPr>
      <w:bookmarkStart w:id="6" w:name="redstr"/>
      <w:bookmarkEnd w:id="6"/>
      <w:r>
        <w:t xml:space="preserve">Источниками образования твердых коммунальных отходов в Богородском муниципальном округе являются: население округа, учреждения и предприятия общественного назначения и промышленные предприятия. </w:t>
      </w:r>
    </w:p>
    <w:p>
      <w:pPr>
        <w:ind w:firstLine="720"/>
        <w:jc w:val="both"/>
      </w:pPr>
      <w:r>
        <w:t>Одной из основных задач является введение раздельного накопления твердых коммунальных отходов. Внедрение планируется осуществить поэтапно. В первую очередь контейнерные площадки планируется оснастить сетчатым контейнером для сбора пластиковой бутылки.</w:t>
      </w:r>
      <w:bookmarkStart w:id="7" w:name="redstr19"/>
      <w:bookmarkEnd w:id="7"/>
      <w:r>
        <w:t xml:space="preserve"> В Богородском муниципальном округе отмечается недостаточное количество обустроенных контейнерных площадок. Планируется обустройство контейнерных площадок и закупку необходимого количества контейнеров и бункеров. </w:t>
      </w:r>
    </w:p>
    <w:p>
      <w:pPr>
        <w:pStyle w:val="52"/>
        <w:ind w:firstLine="720"/>
        <w:jc w:val="both"/>
      </w:pPr>
      <w:r>
        <w:rPr>
          <w:color w:val="auto"/>
        </w:rPr>
        <w:t>В рамках национального проекта «Экология» в соответствии с абзацем 4 подпункта «а», с абзацами 5,7 подпункта «б» пункта 7 Указа Президента Российской Федерации от 7 мая 2018 г. № 204 «О национальных целях и стратегических задачах развития Российской Федерации на период до 2024года» разработан Федеральный проект «Оздоровление Волги». Мероприятия федерального проекта направлены на улучшение экологического состояния реки Волга и обеспечение устойчивого функционирования водохозяйственного комплекса Нижней Волги за счет сокращения доли загрязненных сточных вод. В рамках проекта планируется реализация мероприятий по строительству, реконструкции (модернизации)  очистных сооружений в Богородском муниципальном округе.</w:t>
      </w:r>
    </w:p>
    <w:p>
      <w:pPr>
        <w:pStyle w:val="52"/>
        <w:ind w:firstLine="300"/>
        <w:jc w:val="both"/>
        <w:rPr>
          <w:b/>
          <w:color w:val="auto"/>
          <w:highlight w:val="yellow"/>
        </w:rPr>
      </w:pPr>
    </w:p>
    <w:p>
      <w:pPr>
        <w:pStyle w:val="52"/>
        <w:jc w:val="center"/>
      </w:pPr>
      <w:r>
        <w:rPr>
          <w:b/>
          <w:bCs/>
          <w:color w:val="auto"/>
        </w:rPr>
        <w:t>2.2. Цели и задачи Программы</w:t>
      </w:r>
    </w:p>
    <w:p>
      <w:pPr>
        <w:pStyle w:val="52"/>
        <w:ind w:firstLine="720"/>
        <w:jc w:val="both"/>
      </w:pPr>
      <w:r>
        <w:rPr>
          <w:color w:val="auto"/>
        </w:rPr>
        <w:t>Стратегическая цель муниципальной программы является создание комфортной среды проживания и жизнедеятельности для человека, которая позволит не только удовлетворять жилищные потребности населения, но и обеспечивать высокое качество жизни в целом.</w:t>
      </w:r>
    </w:p>
    <w:p>
      <w:pPr>
        <w:pStyle w:val="52"/>
        <w:ind w:firstLine="720"/>
        <w:jc w:val="both"/>
      </w:pPr>
      <w:r>
        <w:rPr>
          <w:color w:val="auto"/>
        </w:rPr>
        <w:t>Задачи для достижения поставленной цели следующие:</w:t>
      </w:r>
    </w:p>
    <w:p>
      <w:pPr>
        <w:pStyle w:val="52"/>
        <w:ind w:firstLine="709"/>
        <w:jc w:val="both"/>
      </w:pPr>
      <w:r>
        <w:rPr>
          <w:color w:val="auto"/>
        </w:rPr>
        <w:t>- Обеспечение населения Богородского муниципального округа Нижегородской области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p>
      <w:pPr>
        <w:pStyle w:val="52"/>
        <w:ind w:firstLine="709"/>
        <w:jc w:val="both"/>
      </w:pPr>
      <w:r>
        <w:rPr>
          <w:color w:val="auto"/>
        </w:rPr>
        <w:t>-Обеспечение качественного и своевременного проведения капитального ремонта общего имущества в многоквартирном доме;</w:t>
      </w:r>
    </w:p>
    <w:p>
      <w:pPr>
        <w:pStyle w:val="52"/>
        <w:ind w:firstLine="709"/>
        <w:jc w:val="both"/>
      </w:pPr>
      <w:r>
        <w:rPr>
          <w:color w:val="auto"/>
        </w:rPr>
        <w:t>-Улучшение экологической обстановке в Богородском муниципальном округе Нижегородской области.</w:t>
      </w:r>
    </w:p>
    <w:p>
      <w:pPr>
        <w:pStyle w:val="52"/>
        <w:ind w:firstLine="709"/>
        <w:jc w:val="both"/>
      </w:pPr>
      <w:r>
        <w:rPr>
          <w:color w:val="auto"/>
        </w:rPr>
        <w:t>-Создание необходимых условий для эффективной реализации муниципальной программы.</w:t>
      </w:r>
    </w:p>
    <w:p>
      <w:pPr>
        <w:pStyle w:val="52"/>
        <w:ind w:firstLine="720"/>
        <w:jc w:val="both"/>
        <w:rPr>
          <w:color w:val="auto"/>
          <w:highlight w:val="yellow"/>
        </w:rPr>
      </w:pPr>
    </w:p>
    <w:p>
      <w:pPr>
        <w:pStyle w:val="52"/>
        <w:jc w:val="center"/>
      </w:pPr>
      <w:r>
        <w:rPr>
          <w:b/>
          <w:bCs/>
          <w:color w:val="auto"/>
        </w:rPr>
        <w:t>2.3. Сроки и этапы реализации Программы</w:t>
      </w:r>
    </w:p>
    <w:p>
      <w:pPr>
        <w:pStyle w:val="52"/>
        <w:ind w:firstLine="720"/>
        <w:jc w:val="both"/>
      </w:pPr>
      <w:r>
        <w:rPr>
          <w:color w:val="auto"/>
        </w:rPr>
        <w:t>Программа реализуется в течение 2021-2027годов без разделения на этапы.</w:t>
      </w:r>
    </w:p>
    <w:p>
      <w:pPr>
        <w:pStyle w:val="52"/>
        <w:ind w:firstLine="300"/>
        <w:jc w:val="both"/>
        <w:rPr>
          <w:color w:val="auto"/>
        </w:rPr>
      </w:pPr>
    </w:p>
    <w:p>
      <w:pPr>
        <w:pStyle w:val="52"/>
        <w:jc w:val="center"/>
      </w:pPr>
      <w:r>
        <w:rPr>
          <w:b/>
          <w:bCs/>
          <w:color w:val="auto"/>
        </w:rPr>
        <w:t>2.4. Перечень основных мероприятий Программы</w:t>
      </w:r>
    </w:p>
    <w:p>
      <w:pPr>
        <w:widowControl w:val="0"/>
        <w:ind w:firstLine="540"/>
        <w:jc w:val="both"/>
      </w:pPr>
      <w:r>
        <w:t xml:space="preserve">Основные мероприятия Программы предусматривают комплекс взаимосвязанных мер, направленных на достижение цели Программы. Исходя из необходимости решения поставленных задач сформированы соответствующие подпрограммы настоящей Программы. </w:t>
      </w:r>
    </w:p>
    <w:p>
      <w:pPr>
        <w:widowControl w:val="0"/>
        <w:ind w:firstLine="540"/>
        <w:jc w:val="both"/>
      </w:pPr>
      <w:r>
        <w:t>В рамках каждой подпрограммы сформирована система основных мероприятий, информация о которых представлена в приложении 1 к Программе.</w:t>
      </w:r>
    </w:p>
    <w:p>
      <w:pPr>
        <w:pStyle w:val="52"/>
        <w:ind w:firstLine="720"/>
        <w:jc w:val="both"/>
        <w:rPr>
          <w:color w:val="auto"/>
        </w:rPr>
      </w:pPr>
    </w:p>
    <w:p>
      <w:pPr>
        <w:pStyle w:val="52"/>
        <w:jc w:val="center"/>
      </w:pPr>
      <w:r>
        <w:rPr>
          <w:b/>
          <w:bCs/>
          <w:color w:val="auto"/>
        </w:rPr>
        <w:t>2.5. Индикаторы достижения цели и непосредственные результаты реализации</w:t>
      </w:r>
    </w:p>
    <w:p>
      <w:pPr>
        <w:pStyle w:val="52"/>
        <w:ind w:firstLine="300"/>
        <w:jc w:val="center"/>
      </w:pPr>
      <w:r>
        <w:rPr>
          <w:b/>
          <w:bCs/>
          <w:color w:val="auto"/>
        </w:rPr>
        <w:t>Программы</w:t>
      </w:r>
    </w:p>
    <w:p>
      <w:pPr>
        <w:pStyle w:val="52"/>
        <w:ind w:firstLine="720"/>
        <w:jc w:val="both"/>
      </w:pPr>
      <w:r>
        <w:rPr>
          <w:color w:val="auto"/>
        </w:rPr>
        <w:t>Состав индикаторов Программы определен исходя из принципа необходимости и достаточности информации для характеристики достижения цели и решения задач Программы.</w:t>
      </w:r>
    </w:p>
    <w:p>
      <w:pPr>
        <w:pStyle w:val="52"/>
        <w:ind w:firstLine="720"/>
        <w:jc w:val="both"/>
      </w:pPr>
      <w:r>
        <w:rPr>
          <w:color w:val="auto"/>
        </w:rPr>
        <w:t>Достижение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приложении 2 к настоящей Программе.</w:t>
      </w:r>
    </w:p>
    <w:p>
      <w:pPr>
        <w:pStyle w:val="52"/>
        <w:ind w:firstLine="720"/>
        <w:jc w:val="both"/>
      </w:pPr>
      <w:r>
        <w:rPr>
          <w:color w:val="auto"/>
        </w:rPr>
        <w:t>Перечень индикаторов носит открытый характер и предусматривает возможность корректировки.</w:t>
      </w:r>
    </w:p>
    <w:p>
      <w:pPr>
        <w:pStyle w:val="52"/>
        <w:ind w:firstLine="720"/>
        <w:jc w:val="both"/>
        <w:rPr>
          <w:color w:val="auto"/>
        </w:rPr>
      </w:pPr>
    </w:p>
    <w:p>
      <w:pPr>
        <w:widowControl w:val="0"/>
        <w:ind w:left="1080"/>
        <w:jc w:val="center"/>
      </w:pPr>
      <w:r>
        <w:rPr>
          <w:b/>
        </w:rPr>
        <w:t>2.6. Прогноз сводных показателей муниципальных заданий на оказание муниципальных услуг (работ) муниципальными учреждениями</w:t>
      </w:r>
    </w:p>
    <w:p>
      <w:pPr>
        <w:widowControl w:val="0"/>
        <w:ind w:firstLine="540"/>
        <w:jc w:val="both"/>
      </w:pPr>
      <w:r>
        <w:t>В реализации Программы не предусматривается оказание муниципальными учреждения муниципальные услуги (работы) физическим и юридическим лицам.</w:t>
      </w:r>
    </w:p>
    <w:p>
      <w:pPr>
        <w:widowControl w:val="0"/>
        <w:ind w:firstLine="540"/>
        <w:jc w:val="both"/>
      </w:pPr>
    </w:p>
    <w:p>
      <w:pPr>
        <w:widowControl w:val="0"/>
        <w:jc w:val="center"/>
      </w:pPr>
      <w:r>
        <w:rPr>
          <w:b/>
        </w:rPr>
        <w:t>2.7. Участие муниципальных унитарных предприятий, акционерных обществ, общественных, научных и иных организаций, а также внебюджетных фондов</w:t>
      </w:r>
    </w:p>
    <w:p>
      <w:pPr>
        <w:widowControl w:val="0"/>
        <w:ind w:firstLine="540"/>
        <w:jc w:val="both"/>
      </w:pPr>
      <w:r>
        <w:t>В реализации Программы муниципальные унитарные предприятия, акционерные общества, общественные, научные и иные организации, а также внебюджетные фонды не участвуют.</w:t>
      </w:r>
    </w:p>
    <w:p>
      <w:pPr>
        <w:pStyle w:val="52"/>
        <w:jc w:val="center"/>
        <w:rPr>
          <w:color w:val="auto"/>
          <w:sz w:val="16"/>
          <w:szCs w:val="16"/>
          <w:highlight w:val="yellow"/>
        </w:rPr>
      </w:pPr>
    </w:p>
    <w:p>
      <w:pPr>
        <w:pStyle w:val="52"/>
        <w:ind w:firstLine="720"/>
        <w:jc w:val="both"/>
        <w:rPr>
          <w:color w:val="auto"/>
          <w:sz w:val="16"/>
          <w:szCs w:val="16"/>
          <w:highlight w:val="yellow"/>
        </w:rPr>
      </w:pPr>
    </w:p>
    <w:p>
      <w:pPr>
        <w:pStyle w:val="52"/>
        <w:jc w:val="center"/>
      </w:pPr>
      <w:r>
        <w:rPr>
          <w:b/>
          <w:bCs/>
          <w:color w:val="auto"/>
        </w:rPr>
        <w:t>2.8. Обоснование объема финансовых ресурсов Программы</w:t>
      </w:r>
    </w:p>
    <w:p>
      <w:pPr>
        <w:pStyle w:val="53"/>
        <w:ind w:firstLine="540"/>
        <w:jc w:val="both"/>
      </w:pPr>
      <w:r>
        <w:t>Общий объем финансирования Программы за счет средств бюджета муниципального округа составляет 38157,48 тыс. рублей, с учетом средств из бюджетов других уровней –  1 318 356,04 тыс. рублей.</w:t>
      </w:r>
    </w:p>
    <w:p>
      <w:pPr>
        <w:widowControl w:val="0"/>
        <w:ind w:firstLine="540"/>
        <w:jc w:val="both"/>
      </w:pPr>
      <w:r>
        <w:t>Средства на реализацию Программы утверждаются решением о бюджете муниципального округа на очередной финансовый год и на плановый период. По результатам ежегодной оценки эффективности и результативности реализации Программы возможно перераспределение объемов средств, предусмотренных на их реализацию по направлениям, отдельным мероприятиям и годам.</w:t>
      </w:r>
    </w:p>
    <w:p>
      <w:pPr>
        <w:widowControl w:val="0"/>
        <w:ind w:firstLine="540"/>
        <w:jc w:val="both"/>
      </w:pPr>
      <w:r>
        <w:t>Ресурсное обеспечение Программы представлено в приложениях 3 и 4 к Программе.</w:t>
      </w:r>
    </w:p>
    <w:p>
      <w:pPr>
        <w:pStyle w:val="52"/>
        <w:jc w:val="center"/>
        <w:rPr>
          <w:b/>
          <w:bCs/>
          <w:color w:val="auto"/>
          <w:highlight w:val="yellow"/>
        </w:rPr>
      </w:pPr>
    </w:p>
    <w:p>
      <w:pPr>
        <w:pStyle w:val="52"/>
        <w:jc w:val="center"/>
        <w:rPr>
          <w:b/>
          <w:bCs/>
          <w:color w:val="auto"/>
          <w:highlight w:val="yellow"/>
        </w:rPr>
      </w:pPr>
    </w:p>
    <w:p>
      <w:pPr>
        <w:pStyle w:val="52"/>
        <w:jc w:val="center"/>
      </w:pPr>
      <w:r>
        <w:rPr>
          <w:b/>
          <w:bCs/>
          <w:color w:val="auto"/>
        </w:rPr>
        <w:t>2.9. Анализ рисков реализации Программы</w:t>
      </w:r>
    </w:p>
    <w:p>
      <w:pPr>
        <w:pStyle w:val="52"/>
        <w:ind w:firstLine="720"/>
        <w:jc w:val="both"/>
      </w:pPr>
      <w:r>
        <w:rPr>
          <w:color w:val="auto"/>
        </w:rPr>
        <w:t>К рискам реализации муниципальной Программы следует отнести следующие.</w:t>
      </w:r>
    </w:p>
    <w:p>
      <w:pPr>
        <w:pStyle w:val="52"/>
        <w:ind w:firstLine="720"/>
        <w:jc w:val="both"/>
      </w:pPr>
      <w:r>
        <w:rPr>
          <w:color w:val="auto"/>
        </w:rPr>
        <w:t>1. Институционально-правовой риск, связанный с отсутствием законодательного регулирования.</w:t>
      </w:r>
    </w:p>
    <w:p>
      <w:pPr>
        <w:pStyle w:val="52"/>
        <w:ind w:firstLine="720"/>
        <w:jc w:val="both"/>
      </w:pPr>
      <w:r>
        <w:rPr>
          <w:color w:val="auto"/>
        </w:rPr>
        <w:t xml:space="preserve">2. Риск финансового обеспечения, который связан: </w:t>
      </w:r>
    </w:p>
    <w:p>
      <w:pPr>
        <w:pStyle w:val="52"/>
        <w:ind w:firstLine="720"/>
        <w:jc w:val="both"/>
      </w:pPr>
      <w:r>
        <w:rPr>
          <w:color w:val="auto"/>
        </w:rPr>
        <w:t>- с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что потребует внесения изменений в муниципальную программу;</w:t>
      </w:r>
    </w:p>
    <w:p>
      <w:pPr>
        <w:pStyle w:val="52"/>
        <w:ind w:firstLine="720"/>
        <w:jc w:val="both"/>
      </w:pPr>
      <w:r>
        <w:rPr>
          <w:color w:val="auto"/>
        </w:rPr>
        <w:t>- с отсутствием финансирования мероприятий из средств областного бюджета;</w:t>
      </w:r>
    </w:p>
    <w:p>
      <w:pPr>
        <w:pStyle w:val="52"/>
        <w:ind w:firstLine="720"/>
        <w:jc w:val="both"/>
      </w:pPr>
      <w:r>
        <w:rPr>
          <w:color w:val="auto"/>
        </w:rPr>
        <w:t>Реализации муниципальной Программы также угрожают следующие риски, которые связаны с изменениями внешней среды и которыми невозможно управлять в рамках реализации программных мероприятий:</w:t>
      </w:r>
    </w:p>
    <w:p>
      <w:pPr>
        <w:pStyle w:val="52"/>
        <w:ind w:firstLine="720"/>
        <w:jc w:val="both"/>
      </w:pPr>
      <w:r>
        <w:rPr>
          <w:color w:val="auto"/>
        </w:rPr>
        <w:t xml:space="preserve">-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w:t>
      </w:r>
    </w:p>
    <w:p>
      <w:pPr>
        <w:pStyle w:val="52"/>
        <w:ind w:firstLine="720"/>
        <w:jc w:val="both"/>
      </w:pPr>
      <w:r>
        <w:rPr>
          <w:color w:val="auto"/>
        </w:rPr>
        <w:t xml:space="preserve">-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w:t>
      </w:r>
    </w:p>
    <w:p>
      <w:pPr>
        <w:pStyle w:val="52"/>
        <w:ind w:firstLine="300"/>
        <w:jc w:val="both"/>
        <w:rPr>
          <w:b/>
          <w:bCs/>
          <w:color w:val="auto"/>
        </w:rPr>
      </w:pPr>
    </w:p>
    <w:p>
      <w:pPr>
        <w:pStyle w:val="52"/>
        <w:jc w:val="center"/>
      </w:pPr>
      <w:r>
        <w:rPr>
          <w:b/>
          <w:bCs/>
          <w:color w:val="auto"/>
        </w:rPr>
        <w:t xml:space="preserve">3. Подпрограмма 1 </w:t>
      </w:r>
      <w:r>
        <w:rPr>
          <w:b/>
          <w:color w:val="auto"/>
        </w:rPr>
        <w:t>«Развитие коммунальной инфраструктуры в Богородском муниципальном округе Нижегородской области»</w:t>
      </w:r>
      <w:r>
        <w:rPr>
          <w:b/>
          <w:bCs/>
          <w:color w:val="auto"/>
        </w:rPr>
        <w:t xml:space="preserve"> </w:t>
      </w:r>
    </w:p>
    <w:p>
      <w:pPr>
        <w:pStyle w:val="52"/>
        <w:jc w:val="center"/>
      </w:pPr>
      <w:r>
        <w:rPr>
          <w:color w:val="auto"/>
        </w:rPr>
        <w:t>(далее - Подпрограмма 1)</w:t>
      </w:r>
    </w:p>
    <w:p>
      <w:pPr>
        <w:pStyle w:val="52"/>
        <w:ind w:firstLine="300"/>
        <w:jc w:val="both"/>
        <w:rPr>
          <w:b/>
          <w:color w:val="auto"/>
        </w:rPr>
      </w:pPr>
    </w:p>
    <w:p>
      <w:pPr>
        <w:pStyle w:val="52"/>
        <w:jc w:val="center"/>
      </w:pPr>
      <w:r>
        <w:rPr>
          <w:b/>
          <w:bCs/>
          <w:color w:val="auto"/>
        </w:rPr>
        <w:t>3.1. Паспорт Подпрограммы 1</w:t>
      </w:r>
    </w:p>
    <w:p>
      <w:pPr>
        <w:pStyle w:val="52"/>
        <w:jc w:val="center"/>
      </w:pPr>
      <w:r>
        <w:rPr>
          <w:b/>
          <w:bCs/>
          <w:color w:val="auto"/>
        </w:rPr>
        <w:t>«Развитие коммунальной инфраструктуры в Богородском муниципальном округе</w:t>
      </w:r>
    </w:p>
    <w:p>
      <w:pPr>
        <w:pStyle w:val="52"/>
        <w:jc w:val="center"/>
      </w:pPr>
      <w:r>
        <w:rPr>
          <w:b/>
          <w:bCs/>
          <w:color w:val="auto"/>
        </w:rPr>
        <w:t>Нижегородской области»</w:t>
      </w:r>
    </w:p>
    <w:p>
      <w:pPr>
        <w:pStyle w:val="52"/>
        <w:jc w:val="center"/>
        <w:rPr>
          <w:b/>
          <w:bCs/>
          <w:color w:val="auto"/>
        </w:rPr>
      </w:pPr>
    </w:p>
    <w:tbl>
      <w:tblPr>
        <w:tblStyle w:val="4"/>
        <w:tblW w:w="0" w:type="auto"/>
        <w:tblInd w:w="89" w:type="dxa"/>
        <w:tblLayout w:type="fixed"/>
        <w:tblCellMar>
          <w:top w:w="0" w:type="dxa"/>
          <w:left w:w="28" w:type="dxa"/>
          <w:bottom w:w="0" w:type="dxa"/>
          <w:right w:w="28" w:type="dxa"/>
        </w:tblCellMar>
      </w:tblPr>
      <w:tblGrid>
        <w:gridCol w:w="2318"/>
        <w:gridCol w:w="6986"/>
      </w:tblGrid>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Муниципальный заказчик-координатор  Подпрограммы.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Соисполнители   Подпрограммы</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p>
            <w:pPr>
              <w:pStyle w:val="52"/>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Цели Подпрограммы .</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w:t>
            </w:r>
          </w:p>
          <w:p>
            <w:pPr>
              <w:pStyle w:val="52"/>
              <w:jc w:val="both"/>
            </w:pPr>
            <w:r>
              <w:rPr>
                <w:color w:val="auto"/>
              </w:rPr>
              <w:t>-Бесперебойное и безаварийное обеспечение населения Богородского округа Нижегородской области качественными, услугами теплоснабжения, соответствующие действующему законодательству РФ.</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Задачи  Подпрограммы.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Строительство, капитальный ремонт, ремонт и реконструкция объектов водоснабжения, водоотведения, капитальный ремонт магистральных тепловых сетей и сетей горячего водоснабжения, техническое перевооружение котельных с применением прогрессивных технологий и материалов, обеспечивающих энергосбережение и энергоэффективность технологических процессов.</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Этапы и сроки реализации  Подпрограммы.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2021-2027 годы, без разделения на этапы.</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Объемы бюджетных ассигнований  Подпрограммы за счет  бюджета округа.</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sz w:val="22"/>
                <w:szCs w:val="22"/>
              </w:rPr>
              <w:t xml:space="preserve">Предполагаемый общий объем финансовых средств, необходимых для реализации Подпрограммы1 «Развитие коммунальной инфраструктуры в Богородском муниципальном округе Нижегородской области» всего 18652,28 тыс. рублей, в том числе </w:t>
            </w:r>
          </w:p>
          <w:p>
            <w:pPr>
              <w:pStyle w:val="52"/>
              <w:jc w:val="both"/>
            </w:pPr>
            <w:r>
              <w:rPr>
                <w:color w:val="auto"/>
                <w:sz w:val="22"/>
                <w:szCs w:val="22"/>
              </w:rPr>
              <w:t>2021 год – 18652,28 тыс. рублей;</w:t>
            </w:r>
          </w:p>
          <w:p>
            <w:pPr>
              <w:pStyle w:val="52"/>
              <w:jc w:val="both"/>
            </w:pPr>
            <w:r>
              <w:rPr>
                <w:color w:val="auto"/>
                <w:sz w:val="22"/>
                <w:szCs w:val="22"/>
              </w:rPr>
              <w:t>2022 год –  0,0 тыс. рублей;</w:t>
            </w:r>
          </w:p>
          <w:p>
            <w:pPr>
              <w:pStyle w:val="52"/>
              <w:jc w:val="both"/>
            </w:pPr>
            <w:r>
              <w:rPr>
                <w:color w:val="auto"/>
                <w:sz w:val="22"/>
                <w:szCs w:val="22"/>
              </w:rPr>
              <w:t>2023 год –0,0  тыс. рублей;</w:t>
            </w:r>
          </w:p>
          <w:p>
            <w:pPr>
              <w:pStyle w:val="52"/>
              <w:jc w:val="both"/>
            </w:pPr>
            <w:r>
              <w:rPr>
                <w:color w:val="auto"/>
                <w:sz w:val="22"/>
                <w:szCs w:val="22"/>
              </w:rPr>
              <w:t>2024 год –0,0 тыс. рублей;</w:t>
            </w:r>
          </w:p>
          <w:p>
            <w:pPr>
              <w:pStyle w:val="52"/>
              <w:jc w:val="both"/>
            </w:pPr>
            <w:r>
              <w:rPr>
                <w:color w:val="auto"/>
                <w:sz w:val="22"/>
                <w:szCs w:val="22"/>
              </w:rPr>
              <w:t>2025 год –  0,0тыс. рублей;</w:t>
            </w:r>
          </w:p>
          <w:p>
            <w:pPr>
              <w:pStyle w:val="52"/>
              <w:jc w:val="both"/>
            </w:pPr>
            <w:r>
              <w:rPr>
                <w:color w:val="auto"/>
                <w:sz w:val="22"/>
                <w:szCs w:val="22"/>
              </w:rPr>
              <w:t>2026 год –0,0  тыс. рублей;</w:t>
            </w:r>
          </w:p>
          <w:p>
            <w:pPr>
              <w:pStyle w:val="52"/>
              <w:jc w:val="both"/>
            </w:pPr>
            <w:r>
              <w:rPr>
                <w:color w:val="auto"/>
                <w:sz w:val="22"/>
                <w:szCs w:val="22"/>
              </w:rPr>
              <w:t>2027год-   0,0тыс. рублей.</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 xml:space="preserve">Индикаторы достижения цели  и показатели непосредственных результатов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ind w:firstLine="36"/>
              <w:jc w:val="both"/>
            </w:pPr>
            <w:r>
              <w:rPr>
                <w:color w:val="auto"/>
              </w:rPr>
              <w:t>По итогам реализации Подпрограммы 1 «Развитие коммунальной инфраструктуры в Богородском муниципальном округе Нижегородской области»  будут достигнуты следующие значения индикаторов.</w:t>
            </w:r>
          </w:p>
          <w:p>
            <w:pPr>
              <w:pStyle w:val="52"/>
              <w:ind w:firstLine="36"/>
              <w:jc w:val="both"/>
            </w:pPr>
            <w:r>
              <w:rPr>
                <w:color w:val="auto"/>
              </w:rPr>
              <w:t>Индикаторы:</w:t>
            </w:r>
          </w:p>
          <w:p>
            <w:pPr>
              <w:pStyle w:val="52"/>
              <w:ind w:firstLine="36"/>
              <w:jc w:val="both"/>
            </w:pPr>
            <w:r>
              <w:rPr>
                <w:color w:val="auto"/>
              </w:rPr>
              <w:t xml:space="preserve"> Доля неочищенных стоков в п. Инютино, за счет строительства локальных очистных сооружений, сократится  на 100%</w:t>
            </w:r>
          </w:p>
          <w:p>
            <w:pPr>
              <w:ind w:firstLine="36"/>
              <w:jc w:val="both"/>
            </w:pPr>
          </w:p>
          <w:p>
            <w:pPr>
              <w:pStyle w:val="52"/>
              <w:ind w:firstLine="36"/>
              <w:jc w:val="both"/>
            </w:pPr>
            <w:r>
              <w:rPr>
                <w:color w:val="auto"/>
              </w:rPr>
              <w:t>Непосредственные результаты:</w:t>
            </w:r>
          </w:p>
          <w:p>
            <w:pPr>
              <w:pStyle w:val="52"/>
              <w:ind w:firstLine="36"/>
              <w:jc w:val="both"/>
            </w:pPr>
            <w:r>
              <w:rPr>
                <w:color w:val="auto"/>
              </w:rPr>
              <w:t>Локальные очистные сооружения в п. Инютино, производительностью 300 м куб. /сут.</w:t>
            </w:r>
          </w:p>
        </w:tc>
      </w:tr>
    </w:tbl>
    <w:p>
      <w:pPr>
        <w:ind w:firstLine="720"/>
        <w:jc w:val="both"/>
      </w:pPr>
    </w:p>
    <w:p>
      <w:pPr>
        <w:pStyle w:val="52"/>
        <w:jc w:val="center"/>
      </w:pPr>
      <w:r>
        <w:rPr>
          <w:b/>
          <w:bCs/>
          <w:color w:val="auto"/>
        </w:rPr>
        <w:t>3.2. Текущее состояние сферы реализации Программы 1</w:t>
      </w:r>
    </w:p>
    <w:p>
      <w:pPr>
        <w:pStyle w:val="52"/>
        <w:jc w:val="center"/>
      </w:pPr>
      <w:r>
        <w:rPr>
          <w:b/>
          <w:bCs/>
          <w:color w:val="auto"/>
        </w:rPr>
        <w:t>3.2.1. Характеристика текущего состояния</w:t>
      </w:r>
    </w:p>
    <w:p>
      <w:pPr>
        <w:pStyle w:val="52"/>
        <w:ind w:firstLine="720"/>
        <w:jc w:val="both"/>
      </w:pPr>
      <w:r>
        <w:rPr>
          <w:color w:val="auto"/>
        </w:rPr>
        <w:t xml:space="preserve">Богородский муниципальный округ находится в центральной части Нижегородской области.  Муниципальное образование включает 125- населенных пункта. Административный центр- город районного значения Богородск. </w:t>
      </w:r>
    </w:p>
    <w:p>
      <w:pPr>
        <w:pStyle w:val="52"/>
        <w:ind w:firstLine="720"/>
        <w:jc w:val="both"/>
      </w:pPr>
      <w:r>
        <w:rPr>
          <w:color w:val="auto"/>
        </w:rPr>
        <w:t xml:space="preserve">Источниками питьевого водоснабжения населения Богородского муниципального округа являются поверхностные и подземные водоисточники. Водоснабжение района осуществляется с р. Ока комплексом водозаборных сооружений (в районе с. Хабарское). Вода реки, вместе водозабора, относится к маломутным цветным водам. Забор воды производится на правой стороне р. Оки  на расстоянии 45 метров от берега. </w:t>
      </w:r>
    </w:p>
    <w:p>
      <w:pPr>
        <w:pStyle w:val="52"/>
        <w:ind w:firstLine="720"/>
        <w:jc w:val="both"/>
      </w:pPr>
      <w:r>
        <w:rPr>
          <w:color w:val="auto"/>
        </w:rPr>
        <w:t xml:space="preserve"> Общая протяженность водопроводных сетей в целом по району 316,5 км.</w:t>
      </w:r>
    </w:p>
    <w:p>
      <w:pPr>
        <w:pStyle w:val="52"/>
        <w:ind w:firstLine="720"/>
        <w:jc w:val="both"/>
      </w:pPr>
      <w:r>
        <w:rPr>
          <w:color w:val="auto"/>
        </w:rPr>
        <w:t>Поверхностные и подземные водоисточники испытывают активное антропогенное и техногенное воздействие. Наиболее выражено это воздействие для поверхностных водоисточников.</w:t>
      </w:r>
    </w:p>
    <w:p>
      <w:pPr>
        <w:pStyle w:val="52"/>
        <w:ind w:firstLine="720"/>
        <w:jc w:val="both"/>
      </w:pPr>
      <w:r>
        <w:rPr>
          <w:color w:val="auto"/>
        </w:rPr>
        <w:t>Огромное влияние на качество воды водоемов оказывают канализационные очистные сооружения  и степень очистки сточных вод, сбрасываемых в водоемы.</w:t>
      </w:r>
    </w:p>
    <w:p>
      <w:pPr>
        <w:pStyle w:val="52"/>
        <w:ind w:firstLine="720"/>
        <w:jc w:val="both"/>
      </w:pPr>
      <w:r>
        <w:rPr>
          <w:color w:val="auto"/>
        </w:rPr>
        <w:t>В Богородском муниципальном округе в питьевой воде регистрируются превышения предельно допустимой концентрации элементов по химическим показателям - повышено содержание железа. Превышение железа в питьевой воде и ухудшение ее качества связано с ветхостью и изношенностью водопроводных сетей. Так, износ сетей водоснабжения в Богородском муниципальном округе  составляет 65,0%, потери при транспортировке достигают 4,8%.</w:t>
      </w:r>
    </w:p>
    <w:p>
      <w:pPr>
        <w:pStyle w:val="52"/>
        <w:ind w:firstLine="720"/>
        <w:jc w:val="both"/>
      </w:pPr>
      <w:r>
        <w:rPr>
          <w:color w:val="auto"/>
        </w:rPr>
        <w:t>Ухудшающееся качество питьевой воды при неудовлетворительном состоянии водопроводно-канализационного хозяйства населенных пунктов представляет угрозу здоровью и безопасности населения. В сложившейся ситуации для решения проблемы обеспечения населения Богородского муниципального района доброкачественной питьевой водой необходимо осуществлять строительство капитальных объектов водоснабжения и водоотведения, проводить реконструкцию существующих систем водоснабжения и водоотведения, внедрять на существующих сооружениях водоподготовки и очистки сточных вод эффективные технические решения.</w:t>
      </w:r>
    </w:p>
    <w:p>
      <w:pPr>
        <w:pStyle w:val="52"/>
        <w:ind w:firstLine="720"/>
        <w:jc w:val="both"/>
      </w:pPr>
      <w:r>
        <w:rPr>
          <w:color w:val="auto"/>
        </w:rPr>
        <w:t>Планомерная реализация мероприятий, направленных на обеспечение населения питьевой водой, укрепление и развитие систем водоснабжения и водоотведения позволит приостановить разрушение отрасли и в значительной степени повлияет на уровень.</w:t>
      </w:r>
      <w:r>
        <w:rPr>
          <w:color w:val="auto"/>
          <w:highlight w:val="yellow"/>
        </w:rPr>
        <w:t xml:space="preserve"> </w:t>
      </w:r>
    </w:p>
    <w:p>
      <w:pPr>
        <w:pStyle w:val="52"/>
        <w:ind w:firstLine="720"/>
        <w:jc w:val="both"/>
      </w:pPr>
      <w:r>
        <w:rPr>
          <w:color w:val="auto"/>
        </w:rPr>
        <w:t>На территории Богородского муниципального округа Нижегородской области 47 котельных осуществляют теплоснабжение объектов жилищного фонда и социальной сферы. Передача теплоносителя производится по тепловым сетям протяженностью 49,2 км. в двухтрубном исчислении, суммарная мощность источников теплоснабжения 177,7 гкал/час. Износ основных производственных фондов котельных в среднем составляет порядка 60%.Значительный физический износ трубопроводов тепловых сетей и оборудования котельных, морально устаревшая структура построения систем централизованного теплоснабжения выдвигают, наряду с задачей скорейшей замены изношенного оборудования, неотложную задачу оптимизации схемно-технических решений и режимов функционирования этих систем.</w:t>
      </w:r>
    </w:p>
    <w:p>
      <w:pPr>
        <w:pStyle w:val="52"/>
        <w:ind w:firstLine="720"/>
        <w:jc w:val="both"/>
      </w:pPr>
      <w:r>
        <w:rPr>
          <w:color w:val="auto"/>
        </w:rPr>
        <w:t>В соответствии с ФЗ -131 от 06.10.2003  «Об общих принципах организации местного самоуправления в Российской Федерации» к полномочиям органов местного самоуправления  муниципальных  округов относятся  организация водоснабжения и водоотведения на соответствующих территориях. На сегодняшний день 71 населенный пункт Богородского муниципального округа не имеют водопроводных сетей. Для питьевых и хозяйственных нужд населения на данных территориях используют  воды подземных источников, забираемых с помощью различных сооружений и устройств, открытых для общего пользования , без подачи ее к месту расходования.  Вода источников нецентрализованного водоснабжения употребляется населением без предварительной очистки. Она должна быть безопасной по эпидемическим показателям, безвредной по химическому составу, иметь благоприятные органолептические свойства. В связи с этим необходимо проводить работы по ремонту и восстановление источников.</w:t>
      </w:r>
    </w:p>
    <w:p>
      <w:pPr>
        <w:pStyle w:val="52"/>
        <w:ind w:firstLine="300"/>
        <w:jc w:val="both"/>
        <w:rPr>
          <w:color w:val="auto"/>
          <w:highlight w:val="yellow"/>
        </w:rPr>
      </w:pPr>
    </w:p>
    <w:p>
      <w:pPr>
        <w:pStyle w:val="52"/>
        <w:jc w:val="center"/>
      </w:pPr>
      <w:r>
        <w:rPr>
          <w:b/>
          <w:bCs/>
          <w:color w:val="auto"/>
        </w:rPr>
        <w:t>3.2.2. Цели и задачи Подпрограммы 1</w:t>
      </w:r>
    </w:p>
    <w:p>
      <w:pPr>
        <w:pStyle w:val="52"/>
        <w:ind w:firstLine="720"/>
        <w:jc w:val="both"/>
      </w:pPr>
      <w:r>
        <w:rPr>
          <w:color w:val="auto"/>
        </w:rPr>
        <w:t>Основными целями Подпрограммы 1 является обеспечение населения Богородского муниципального округа питьевой водой, соответствующей установленным санитарно-гигиеническим требованиям, в количестве, достаточном для удовлетворения жизненных потребностей и сохранения здоровья граждан, а также снижение загрязнения природных водных объектов сточными водами бытовых объектов, промышленных предприятий, обеспечения населения Богородского муниципального округа Нижегородской области качественными услугами теплоснабжения, соответствующие действующему законодательству РФ.</w:t>
      </w:r>
    </w:p>
    <w:p>
      <w:pPr>
        <w:pStyle w:val="52"/>
        <w:ind w:firstLine="720"/>
        <w:jc w:val="both"/>
      </w:pPr>
      <w:r>
        <w:rPr>
          <w:color w:val="auto"/>
        </w:rPr>
        <w:t>Для достижения названных целей Подпрограммой 1 предусматривается решение следующих задач: строительство, капитальный ремонт, ремонт и реконструкция объектов водоснабжения, водоотведения, капитальный ремонт магистральных тепловых сетей и сетей горячего водоснабжения, техническое перевооружение котельных с применением прогрессивных технологий и материалов, обеспечивающих энергосбережение и энергоэффективность технологических процессов.</w:t>
      </w:r>
    </w:p>
    <w:p>
      <w:pPr>
        <w:pStyle w:val="52"/>
        <w:ind w:firstLine="720"/>
        <w:jc w:val="both"/>
      </w:pPr>
      <w:r>
        <w:rPr>
          <w:color w:val="auto"/>
        </w:rPr>
        <w:t>Оценка результативности Подпрограммы 1 будет ежегодно отслеживаться на основании целевых индикаторов и показателей непосредственных результатов согласно пункту 3.2.5 текстовой части муниципальной программы согласно приложению 2 к настоящей Программе</w:t>
      </w:r>
    </w:p>
    <w:p>
      <w:pPr>
        <w:pStyle w:val="52"/>
        <w:jc w:val="center"/>
        <w:rPr>
          <w:b/>
          <w:bCs/>
          <w:color w:val="auto"/>
          <w:highlight w:val="yellow"/>
        </w:rPr>
      </w:pPr>
    </w:p>
    <w:p>
      <w:pPr>
        <w:pStyle w:val="52"/>
        <w:jc w:val="center"/>
      </w:pPr>
      <w:r>
        <w:rPr>
          <w:b/>
          <w:bCs/>
          <w:color w:val="auto"/>
        </w:rPr>
        <w:t>3.2.3. Сроки и этапы реализации Подпрограммы 1</w:t>
      </w:r>
    </w:p>
    <w:p>
      <w:pPr>
        <w:pStyle w:val="52"/>
        <w:ind w:firstLine="720"/>
        <w:jc w:val="both"/>
      </w:pPr>
      <w:r>
        <w:rPr>
          <w:color w:val="auto"/>
        </w:rPr>
        <w:t>Подпрограмма 1 реализуется в течение 2021-2027годов без разделения на этапы.</w:t>
      </w:r>
    </w:p>
    <w:p>
      <w:pPr>
        <w:pStyle w:val="52"/>
        <w:ind w:firstLine="720"/>
        <w:jc w:val="both"/>
        <w:rPr>
          <w:color w:val="auto"/>
          <w:highlight w:val="yellow"/>
        </w:rPr>
      </w:pPr>
    </w:p>
    <w:p>
      <w:pPr>
        <w:pStyle w:val="52"/>
        <w:jc w:val="center"/>
      </w:pPr>
      <w:r>
        <w:rPr>
          <w:b/>
          <w:bCs/>
          <w:color w:val="auto"/>
        </w:rPr>
        <w:t>3.2.4. Перечень основных мероприятий Подпрограммы 1</w:t>
      </w:r>
    </w:p>
    <w:p>
      <w:pPr>
        <w:widowControl w:val="0"/>
        <w:ind w:firstLine="720"/>
        <w:jc w:val="both"/>
      </w:pPr>
      <w:r>
        <w:t>Достижение поставленных целей и задач Подпрограммы осуществляется посредством комплекса основных мероприятий, реализуемых с учетом следующих показателей:</w:t>
      </w:r>
    </w:p>
    <w:p>
      <w:pPr>
        <w:pStyle w:val="52"/>
        <w:ind w:firstLine="720"/>
        <w:jc w:val="both"/>
      </w:pPr>
      <w:r>
        <w:rPr>
          <w:color w:val="auto"/>
        </w:rPr>
        <w:t>- состояние источников водоснабжения, водоотведения, теплоснабжения;</w:t>
      </w:r>
    </w:p>
    <w:p>
      <w:pPr>
        <w:pStyle w:val="52"/>
        <w:ind w:firstLine="720"/>
        <w:jc w:val="both"/>
      </w:pPr>
      <w:r>
        <w:rPr>
          <w:color w:val="auto"/>
        </w:rPr>
        <w:t>- наибольший охват населения услугами коммунального комплекса;</w:t>
      </w:r>
    </w:p>
    <w:p>
      <w:pPr>
        <w:pStyle w:val="52"/>
        <w:ind w:firstLine="720"/>
        <w:jc w:val="both"/>
      </w:pPr>
      <w:r>
        <w:rPr>
          <w:color w:val="auto"/>
        </w:rPr>
        <w:t>- эксплуатационно-техническое состояние объектов;</w:t>
      </w:r>
    </w:p>
    <w:p>
      <w:pPr>
        <w:widowControl w:val="0"/>
        <w:ind w:firstLine="720"/>
        <w:jc w:val="both"/>
      </w:pPr>
      <w:r>
        <w:t>- возможностей муниципального бюджета;.</w:t>
      </w:r>
    </w:p>
    <w:p>
      <w:pPr>
        <w:widowControl w:val="0"/>
        <w:ind w:firstLine="720"/>
        <w:jc w:val="both"/>
      </w:pPr>
      <w:r>
        <w:t>Основные мероприятия Подпрограммы подразделяются на отдельные мероприятия, реализация которых в комплексе позволит выполнить соответствующие основные мероприятия Подпрограммы.</w:t>
      </w:r>
    </w:p>
    <w:p>
      <w:pPr>
        <w:pStyle w:val="52"/>
        <w:jc w:val="both"/>
      </w:pPr>
      <w:r>
        <w:rPr>
          <w:color w:val="auto"/>
        </w:rPr>
        <w:t xml:space="preserve">Информация об основных мероприятиях представлена в приложении 1 к Программе. </w:t>
      </w:r>
    </w:p>
    <w:p>
      <w:pPr>
        <w:pStyle w:val="52"/>
        <w:ind w:firstLine="720"/>
        <w:jc w:val="both"/>
        <w:rPr>
          <w:color w:val="auto"/>
          <w:highlight w:val="yellow"/>
        </w:rPr>
      </w:pPr>
    </w:p>
    <w:p>
      <w:pPr>
        <w:pStyle w:val="52"/>
        <w:jc w:val="center"/>
      </w:pPr>
      <w:r>
        <w:rPr>
          <w:b/>
          <w:bCs/>
          <w:color w:val="auto"/>
        </w:rPr>
        <w:t>3.2.5. Индикаторы достижения цели и непосредственные результаты реализации Подпрограммы 1</w:t>
      </w:r>
    </w:p>
    <w:p>
      <w:pPr>
        <w:pStyle w:val="52"/>
        <w:ind w:firstLine="709"/>
        <w:jc w:val="both"/>
      </w:pPr>
      <w:r>
        <w:rPr>
          <w:color w:val="auto"/>
        </w:rPr>
        <w:t>Достижение долгосрочных целей Подпрограммы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представленными в приложении 2 к настоящей Программе.</w:t>
      </w:r>
    </w:p>
    <w:p>
      <w:pPr>
        <w:pStyle w:val="52"/>
        <w:ind w:firstLine="720"/>
        <w:jc w:val="both"/>
        <w:rPr>
          <w:color w:val="auto"/>
          <w:highlight w:val="yellow"/>
        </w:rPr>
      </w:pPr>
    </w:p>
    <w:p>
      <w:pPr>
        <w:widowControl w:val="0"/>
        <w:ind w:left="1080"/>
        <w:jc w:val="center"/>
        <w:rPr>
          <w:b/>
          <w:highlight w:val="yellow"/>
        </w:rPr>
      </w:pPr>
    </w:p>
    <w:p>
      <w:pPr>
        <w:widowControl w:val="0"/>
        <w:jc w:val="center"/>
      </w:pPr>
      <w:r>
        <w:rPr>
          <w:b/>
        </w:rPr>
        <w:t>3.2.6. Прогноз сводных показателей муниципальных заданий на оказание муниципальных услуг (работ) муниципальными учреждениями.</w:t>
      </w:r>
    </w:p>
    <w:p>
      <w:pPr>
        <w:widowControl w:val="0"/>
        <w:ind w:firstLine="540"/>
        <w:jc w:val="both"/>
      </w:pPr>
      <w:r>
        <w:t>В реализации Подпрограммы 1 не предусматривается оказание муниципальными учреждения муниципальные услуги (работы) физическим и юридическим лицам.</w:t>
      </w:r>
    </w:p>
    <w:p>
      <w:pPr>
        <w:widowControl w:val="0"/>
        <w:ind w:firstLine="540"/>
        <w:jc w:val="both"/>
      </w:pPr>
    </w:p>
    <w:p>
      <w:pPr>
        <w:widowControl w:val="0"/>
        <w:jc w:val="center"/>
      </w:pPr>
      <w:r>
        <w:rPr>
          <w:b/>
        </w:rPr>
        <w:t>3.2.7. Участие муниципальных унитарных предприятий, акционерных обществ, общественных, научных и иных организаций, а также внебюджетных фондов</w:t>
      </w:r>
    </w:p>
    <w:p>
      <w:pPr>
        <w:widowControl w:val="0"/>
        <w:ind w:firstLine="540"/>
        <w:jc w:val="both"/>
      </w:pPr>
      <w:r>
        <w:t>В реализации Подпрограммы 1 муниципальные унитарные предприятия, акционерные общества, общественные, научные и иные организации, а также внебюджетные фонды не участвуют.</w:t>
      </w:r>
    </w:p>
    <w:p>
      <w:pPr>
        <w:widowControl w:val="0"/>
        <w:ind w:firstLine="540"/>
        <w:jc w:val="both"/>
      </w:pPr>
    </w:p>
    <w:p>
      <w:pPr>
        <w:pStyle w:val="52"/>
        <w:jc w:val="center"/>
      </w:pPr>
      <w:r>
        <w:rPr>
          <w:b/>
          <w:bCs/>
          <w:color w:val="auto"/>
        </w:rPr>
        <w:t>3.2.8. Обоснование объема финансовых ресурсов Подпрограммы 1</w:t>
      </w:r>
    </w:p>
    <w:p>
      <w:pPr>
        <w:pStyle w:val="53"/>
        <w:ind w:firstLine="540"/>
        <w:jc w:val="both"/>
      </w:pPr>
      <w:r>
        <w:t>Общий объем финансирования Подпрограммы 1 за счет средств бюджета муниципального округа составляет 18652,28 тыс. рублей, с учетом средств из бюджетов других уровней –18652,28тыс. рублей.</w:t>
      </w:r>
    </w:p>
    <w:p>
      <w:pPr>
        <w:widowControl w:val="0"/>
        <w:ind w:firstLine="720"/>
        <w:jc w:val="both"/>
      </w:pPr>
      <w:r>
        <w:t>Объемы финансирования по Подпрограмме1 будут ежегодно уточняться исходя из возможностей бюджета муниципального округа на соответствующий период.</w:t>
      </w:r>
    </w:p>
    <w:p>
      <w:pPr>
        <w:widowControl w:val="0"/>
        <w:ind w:firstLine="720"/>
        <w:jc w:val="both"/>
      </w:pPr>
      <w:r>
        <w:t>Ресурсное обеспечение Подпрограммы 1 представлено в приложениях 3 и 4 к Программе.</w:t>
      </w:r>
    </w:p>
    <w:p>
      <w:pPr>
        <w:pStyle w:val="52"/>
        <w:ind w:firstLine="720"/>
        <w:jc w:val="both"/>
        <w:rPr>
          <w:color w:val="auto"/>
        </w:rPr>
      </w:pPr>
    </w:p>
    <w:p>
      <w:pPr>
        <w:pStyle w:val="52"/>
        <w:ind w:firstLine="284"/>
        <w:jc w:val="center"/>
      </w:pPr>
      <w:r>
        <w:rPr>
          <w:b/>
          <w:bCs/>
          <w:color w:val="auto"/>
        </w:rPr>
        <w:t>3.2.9. Анализ рисков реализации Подпрограммы 1 и описание мер управления рисками реализации</w:t>
      </w:r>
    </w:p>
    <w:p>
      <w:pPr>
        <w:pStyle w:val="52"/>
        <w:ind w:firstLine="720"/>
        <w:jc w:val="both"/>
      </w:pPr>
      <w:r>
        <w:rPr>
          <w:color w:val="auto"/>
        </w:rPr>
        <w:t>Анализ рисков Подпрограммы 1  указаны в пункте 2.9. Программы «Анализ рисков муниципальной программы»</w:t>
      </w:r>
    </w:p>
    <w:p>
      <w:pPr>
        <w:pStyle w:val="52"/>
        <w:ind w:firstLine="720"/>
        <w:jc w:val="both"/>
        <w:rPr>
          <w:color w:val="auto"/>
        </w:rPr>
      </w:pPr>
    </w:p>
    <w:p>
      <w:pPr>
        <w:widowControl w:val="0"/>
        <w:ind w:left="1800"/>
        <w:jc w:val="center"/>
      </w:pPr>
      <w:r>
        <w:rPr>
          <w:b/>
        </w:rPr>
        <w:t>3.2.10.Оценка планируемой эффективности Подпрограммы1.</w:t>
      </w:r>
    </w:p>
    <w:p>
      <w:pPr>
        <w:ind w:firstLine="540"/>
        <w:jc w:val="both"/>
      </w:pPr>
      <w:r>
        <w:t>Эффективность реализации подпрограммы 1 определяется по ее окончании степенью достижения значений индикаторов и непосредственных результатов подпрограммы.</w:t>
      </w:r>
    </w:p>
    <w:p>
      <w:pPr>
        <w:pStyle w:val="52"/>
        <w:ind w:firstLine="720"/>
        <w:jc w:val="both"/>
        <w:rPr>
          <w:color w:val="auto"/>
        </w:rPr>
      </w:pPr>
    </w:p>
    <w:p>
      <w:pPr>
        <w:pStyle w:val="52"/>
        <w:jc w:val="center"/>
      </w:pPr>
      <w:r>
        <w:rPr>
          <w:b/>
          <w:bCs/>
          <w:color w:val="auto"/>
        </w:rPr>
        <w:t xml:space="preserve">4. Подпрограмма 2. </w:t>
      </w:r>
      <w:r>
        <w:rPr>
          <w:b/>
          <w:color w:val="auto"/>
        </w:rPr>
        <w:t xml:space="preserve">«Капитальный ремонт общего имущества  </w:t>
      </w:r>
    </w:p>
    <w:p>
      <w:pPr>
        <w:pStyle w:val="52"/>
        <w:jc w:val="center"/>
      </w:pPr>
      <w:r>
        <w:rPr>
          <w:b/>
          <w:color w:val="auto"/>
        </w:rPr>
        <w:t xml:space="preserve">в многоквартирных домах « </w:t>
      </w:r>
    </w:p>
    <w:p>
      <w:pPr>
        <w:pStyle w:val="52"/>
        <w:jc w:val="center"/>
      </w:pPr>
      <w:r>
        <w:rPr>
          <w:color w:val="auto"/>
        </w:rPr>
        <w:t>(далее - Подпрограмма 2)</w:t>
      </w:r>
    </w:p>
    <w:p>
      <w:pPr>
        <w:pStyle w:val="52"/>
        <w:jc w:val="both"/>
        <w:rPr>
          <w:b/>
          <w:color w:val="auto"/>
        </w:rPr>
      </w:pPr>
    </w:p>
    <w:p>
      <w:pPr>
        <w:pStyle w:val="52"/>
        <w:jc w:val="center"/>
      </w:pPr>
      <w:r>
        <w:rPr>
          <w:b/>
          <w:color w:val="auto"/>
        </w:rPr>
        <w:t>4.1. Паспорт Подпрограммы 2.</w:t>
      </w:r>
    </w:p>
    <w:p>
      <w:pPr>
        <w:pStyle w:val="52"/>
        <w:jc w:val="center"/>
      </w:pPr>
      <w:r>
        <w:rPr>
          <w:b/>
          <w:color w:val="auto"/>
        </w:rPr>
        <w:t>«Капитальный ремонт общего имущества  в многоквартирных домах»</w:t>
      </w:r>
    </w:p>
    <w:p>
      <w:pPr>
        <w:pStyle w:val="52"/>
        <w:ind w:firstLine="720"/>
        <w:jc w:val="both"/>
        <w:rPr>
          <w:b/>
          <w:color w:val="auto"/>
        </w:rPr>
      </w:pPr>
    </w:p>
    <w:tbl>
      <w:tblPr>
        <w:tblStyle w:val="4"/>
        <w:tblW w:w="0" w:type="auto"/>
        <w:tblInd w:w="89" w:type="dxa"/>
        <w:tblLayout w:type="fixed"/>
        <w:tblCellMar>
          <w:top w:w="0" w:type="dxa"/>
          <w:left w:w="28" w:type="dxa"/>
          <w:bottom w:w="0" w:type="dxa"/>
          <w:right w:w="28" w:type="dxa"/>
        </w:tblCellMar>
      </w:tblPr>
      <w:tblGrid>
        <w:gridCol w:w="2318"/>
        <w:gridCol w:w="7004"/>
      </w:tblGrid>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Муниципальный заказчик-координатор  Подпрограммы.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Соисполнители   Подпрограммы</w:t>
            </w:r>
          </w:p>
        </w:tc>
        <w:tc>
          <w:tcPr>
            <w:tcW w:w="7004" w:type="dxa"/>
            <w:tcBorders>
              <w:left w:val="single" w:color="000000" w:sz="2" w:space="0"/>
              <w:bottom w:val="single" w:color="000000" w:sz="2" w:space="0"/>
              <w:right w:val="single" w:color="000000" w:sz="2" w:space="0"/>
            </w:tcBorders>
            <w:shd w:val="clear" w:color="auto" w:fill="auto"/>
            <w:noWrap w:val="0"/>
            <w:vAlign w:val="top"/>
          </w:tcPr>
          <w:p>
            <w:pPr>
              <w:pStyle w:val="52"/>
            </w:pPr>
            <w:r>
              <w:rPr>
                <w:color w:val="auto"/>
              </w:rPr>
              <w:t>Комитет имущественных и земельных отношений, учета и распределения жилья администрации Богородского муниципального округа Нижегородской области, далее «Комитет по имуществу администрации  округа»</w:t>
            </w:r>
          </w:p>
        </w:tc>
      </w:tr>
      <w:tr>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Цели Подпрограммы .</w:t>
            </w:r>
          </w:p>
        </w:tc>
        <w:tc>
          <w:tcPr>
            <w:tcW w:w="7004" w:type="dxa"/>
            <w:tcBorders>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Обеспечение качественного и своевременного проведения капитального ремонта общего имущества в многоквартирном доме.</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Задачи  Подпрограммы.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Финансирование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Этапы и сроки реализации  Подпрограммы.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2021-2027 годы, без разделения на этапы.</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Объемы бюджетных ассигнований  Подпрограммы за счет  бюджета округа.</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jc w:val="both"/>
            </w:pPr>
            <w:r>
              <w:rPr>
                <w:sz w:val="22"/>
                <w:szCs w:val="22"/>
              </w:rPr>
              <w:t>Предполагаемый общий объем финансовых средств, необходимых для реализации Подпрограммы 2 «Капитальный ремонт общего имущества  в многоквартирных домах» всего 8597,13 тыс. рублей, в том числе :</w:t>
            </w:r>
          </w:p>
          <w:p>
            <w:pPr>
              <w:pStyle w:val="52"/>
              <w:jc w:val="both"/>
            </w:pPr>
            <w:r>
              <w:rPr>
                <w:color w:val="auto"/>
                <w:sz w:val="22"/>
                <w:szCs w:val="22"/>
              </w:rPr>
              <w:t>2021 год –  2865,71тыс. рублей;</w:t>
            </w:r>
          </w:p>
          <w:p>
            <w:pPr>
              <w:pStyle w:val="52"/>
              <w:jc w:val="both"/>
            </w:pPr>
            <w:r>
              <w:rPr>
                <w:color w:val="auto"/>
                <w:sz w:val="22"/>
                <w:szCs w:val="22"/>
              </w:rPr>
              <w:t>2022 год – 2865,71тыс. рублей;</w:t>
            </w:r>
          </w:p>
          <w:p>
            <w:pPr>
              <w:pStyle w:val="52"/>
              <w:jc w:val="both"/>
            </w:pPr>
            <w:r>
              <w:rPr>
                <w:color w:val="auto"/>
                <w:sz w:val="22"/>
                <w:szCs w:val="22"/>
              </w:rPr>
              <w:t>2023 год -2865,71тыс тыс. рублей;</w:t>
            </w:r>
          </w:p>
          <w:p>
            <w:pPr>
              <w:pStyle w:val="52"/>
              <w:jc w:val="both"/>
            </w:pPr>
            <w:r>
              <w:rPr>
                <w:color w:val="auto"/>
                <w:sz w:val="22"/>
                <w:szCs w:val="22"/>
              </w:rPr>
              <w:t>2024 год – 0,0 тыс. рублей;</w:t>
            </w:r>
          </w:p>
          <w:p>
            <w:pPr>
              <w:pStyle w:val="52"/>
              <w:jc w:val="both"/>
            </w:pPr>
            <w:r>
              <w:rPr>
                <w:color w:val="auto"/>
                <w:sz w:val="22"/>
                <w:szCs w:val="22"/>
              </w:rPr>
              <w:t>2025 год –  0,0 тыс. рублей;</w:t>
            </w:r>
          </w:p>
          <w:p>
            <w:pPr>
              <w:pStyle w:val="52"/>
              <w:jc w:val="both"/>
            </w:pPr>
            <w:r>
              <w:rPr>
                <w:color w:val="auto"/>
                <w:sz w:val="22"/>
                <w:szCs w:val="22"/>
              </w:rPr>
              <w:t>2026 год – 0,0 тыс. рублей;</w:t>
            </w:r>
          </w:p>
          <w:p>
            <w:pPr>
              <w:pStyle w:val="52"/>
              <w:jc w:val="both"/>
            </w:pPr>
            <w:r>
              <w:rPr>
                <w:color w:val="auto"/>
                <w:sz w:val="22"/>
                <w:szCs w:val="22"/>
              </w:rPr>
              <w:t>2027год- 0,0  тыс. рублей;</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 xml:space="preserve">Индикаторы достижения цели и показатели непосредственных результатов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ind w:firstLine="36"/>
              <w:jc w:val="both"/>
            </w:pPr>
            <w:r>
              <w:rPr>
                <w:color w:val="auto"/>
              </w:rPr>
              <w:t>По итогам реализации Подпрограммы 2 «Капитальный ремонт общего имущества в многоквартирных домах « будут достигнуты следующие значения индикаторов и показатели непосредственных результатов:</w:t>
            </w:r>
          </w:p>
          <w:p>
            <w:pPr>
              <w:pStyle w:val="52"/>
              <w:ind w:firstLine="36"/>
              <w:jc w:val="both"/>
            </w:pPr>
            <w:r>
              <w:rPr>
                <w:color w:val="auto"/>
              </w:rPr>
              <w:t>Индикаторы:</w:t>
            </w:r>
          </w:p>
          <w:p>
            <w:pPr>
              <w:pStyle w:val="52"/>
              <w:ind w:firstLine="36"/>
              <w:jc w:val="both"/>
            </w:pPr>
            <w:r>
              <w:rPr>
                <w:color w:val="auto"/>
              </w:rPr>
              <w:t>1. Площадь муниципальных жилых и нежилых помещений в МКД(в отношении МКД, включенных в региональную программу капитального ремонта)-30504,01 кв.м.</w:t>
            </w:r>
          </w:p>
          <w:p>
            <w:pPr>
              <w:pStyle w:val="52"/>
              <w:ind w:firstLine="36"/>
              <w:jc w:val="both"/>
            </w:pPr>
            <w:r>
              <w:rPr>
                <w:color w:val="auto"/>
              </w:rPr>
              <w:t>2. Количество МКД, с долей муниципальных жилых и нежилых помещений включенных в краткосрочный план капитального ремонта в период реализации Программы -46</w:t>
            </w:r>
          </w:p>
          <w:p>
            <w:pPr>
              <w:pStyle w:val="52"/>
              <w:ind w:firstLine="36"/>
              <w:jc w:val="both"/>
            </w:pPr>
            <w:r>
              <w:rPr>
                <w:color w:val="auto"/>
              </w:rPr>
              <w:t>Непосредственные результаты:</w:t>
            </w:r>
          </w:p>
          <w:p>
            <w:pPr>
              <w:pStyle w:val="52"/>
              <w:ind w:firstLine="36"/>
              <w:jc w:val="both"/>
            </w:pPr>
            <w:r>
              <w:rPr>
                <w:color w:val="auto"/>
              </w:rPr>
              <w:t>1.Количество МКД, с долей муниципальных жилых и нежилых помещений, в которых выполнены виды работ капитального характера, в рамках краткосрочного плана -46</w:t>
            </w:r>
          </w:p>
          <w:p>
            <w:pPr>
              <w:pStyle w:val="52"/>
              <w:ind w:firstLine="36"/>
              <w:jc w:val="both"/>
            </w:pPr>
            <w:r>
              <w:rPr>
                <w:color w:val="auto"/>
              </w:rPr>
              <w:t>2. Площадь муниципальных жилых и нежилых помещений в МКД, в которых выполнены виды работ капитального характера, в рамках краткосрочного плана-3965,5 кв.м</w:t>
            </w:r>
          </w:p>
        </w:tc>
      </w:tr>
    </w:tbl>
    <w:p>
      <w:pPr>
        <w:jc w:val="both"/>
        <w:rPr>
          <w:b/>
          <w:highlight w:val="yellow"/>
        </w:rPr>
      </w:pPr>
    </w:p>
    <w:p>
      <w:pPr>
        <w:pStyle w:val="52"/>
        <w:jc w:val="center"/>
      </w:pPr>
      <w:r>
        <w:rPr>
          <w:b/>
          <w:bCs/>
          <w:color w:val="auto"/>
        </w:rPr>
        <w:t>4.2. Текущее состояние сферы реализации Программы 2</w:t>
      </w:r>
    </w:p>
    <w:p>
      <w:pPr>
        <w:pStyle w:val="52"/>
        <w:rPr>
          <w:b/>
          <w:color w:val="auto"/>
          <w:highlight w:val="yellow"/>
        </w:rPr>
      </w:pPr>
    </w:p>
    <w:p>
      <w:pPr>
        <w:pStyle w:val="52"/>
        <w:jc w:val="center"/>
      </w:pPr>
      <w:r>
        <w:rPr>
          <w:b/>
          <w:color w:val="auto"/>
        </w:rPr>
        <w:t>4.2.1. Характеристика текущего состояния</w:t>
      </w:r>
    </w:p>
    <w:p>
      <w:pPr>
        <w:pStyle w:val="52"/>
        <w:ind w:firstLine="720"/>
        <w:jc w:val="both"/>
      </w:pPr>
      <w:r>
        <w:rPr>
          <w:color w:val="auto"/>
        </w:rPr>
        <w:t>Постановлением Правительства Нижегородской области от 01.04.2014 года № 208 утверждена государственная региональная адресная программа по проведению капитального ремонта общего имущества в многоквартирных домах, расположенных на территории Нижегородской области</w:t>
      </w:r>
      <w:r>
        <w:rPr>
          <w:b/>
          <w:color w:val="auto"/>
        </w:rPr>
        <w:t xml:space="preserve">. </w:t>
      </w:r>
      <w:r>
        <w:rPr>
          <w:color w:val="auto"/>
        </w:rPr>
        <w:t>Настоящая Подпрограмма 2 включает в себя мероприятия по  финансированию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 с целю проведения  комплексного капитального ремонта общего имущества многоквартирных домов, направленные на улучшение качества условий жизни населения Богородского муниципального округа Нижегородской области.</w:t>
      </w:r>
    </w:p>
    <w:p>
      <w:pPr>
        <w:pStyle w:val="52"/>
        <w:rPr>
          <w:color w:val="auto"/>
          <w:highlight w:val="yellow"/>
        </w:rPr>
      </w:pPr>
    </w:p>
    <w:p>
      <w:pPr>
        <w:pStyle w:val="52"/>
        <w:jc w:val="center"/>
      </w:pPr>
      <w:r>
        <w:rPr>
          <w:b/>
          <w:bCs/>
          <w:color w:val="auto"/>
        </w:rPr>
        <w:t>4.2.2. Цели и задачи Подпрограммы 2</w:t>
      </w:r>
    </w:p>
    <w:p>
      <w:pPr>
        <w:pStyle w:val="52"/>
        <w:ind w:firstLine="720"/>
        <w:jc w:val="both"/>
      </w:pPr>
      <w:r>
        <w:rPr>
          <w:color w:val="auto"/>
        </w:rPr>
        <w:t>Целью Подпрограммы 2 является обеспечение качественного и своевременного проведения капитального ремонта общего имущества в многоквартирном доме. Для этого предусматривается финансирование капитального ремонта общего имущества в многоквартирных домах, в части оплаты взноса за жилые и нежилые помещения, находящиеся в муниципальной собственности.</w:t>
      </w:r>
    </w:p>
    <w:p>
      <w:pPr>
        <w:pStyle w:val="52"/>
        <w:ind w:firstLine="284"/>
        <w:jc w:val="both"/>
        <w:rPr>
          <w:color w:val="auto"/>
          <w:highlight w:val="yellow"/>
        </w:rPr>
      </w:pPr>
    </w:p>
    <w:p>
      <w:pPr>
        <w:pStyle w:val="52"/>
        <w:ind w:firstLine="284"/>
        <w:jc w:val="both"/>
        <w:rPr>
          <w:color w:val="auto"/>
          <w:highlight w:val="yellow"/>
        </w:rPr>
      </w:pPr>
    </w:p>
    <w:p>
      <w:pPr>
        <w:pStyle w:val="52"/>
        <w:jc w:val="center"/>
      </w:pPr>
      <w:r>
        <w:rPr>
          <w:b/>
          <w:bCs/>
          <w:color w:val="auto"/>
        </w:rPr>
        <w:t>4.2.3 Сроки и этапы реализации Подпрограммы 2</w:t>
      </w:r>
    </w:p>
    <w:p>
      <w:pPr>
        <w:pStyle w:val="52"/>
        <w:ind w:firstLine="720"/>
        <w:jc w:val="both"/>
      </w:pPr>
      <w:r>
        <w:rPr>
          <w:color w:val="auto"/>
        </w:rPr>
        <w:t>Подпрограмма 3 реализуется в течение 2021-2027годов без разделения на этапы.</w:t>
      </w:r>
    </w:p>
    <w:p>
      <w:pPr>
        <w:pStyle w:val="52"/>
        <w:ind w:firstLine="284"/>
        <w:jc w:val="both"/>
        <w:rPr>
          <w:color w:val="auto"/>
        </w:rPr>
      </w:pPr>
    </w:p>
    <w:p>
      <w:pPr>
        <w:pStyle w:val="52"/>
        <w:jc w:val="center"/>
      </w:pPr>
      <w:r>
        <w:rPr>
          <w:b/>
          <w:bCs/>
          <w:color w:val="auto"/>
        </w:rPr>
        <w:t>4.2.4 Перечень основных мероприятий Подпрограммы 2</w:t>
      </w:r>
    </w:p>
    <w:p>
      <w:pPr>
        <w:pStyle w:val="52"/>
        <w:ind w:firstLine="300"/>
        <w:jc w:val="both"/>
      </w:pPr>
      <w:r>
        <w:rPr>
          <w:color w:val="auto"/>
        </w:rPr>
        <w:t xml:space="preserve">Информация об основных мероприятиях представлена в приложении 1 к Программе. </w:t>
      </w:r>
    </w:p>
    <w:p>
      <w:pPr>
        <w:pStyle w:val="52"/>
        <w:ind w:firstLine="300"/>
        <w:jc w:val="both"/>
        <w:rPr>
          <w:color w:val="auto"/>
        </w:rPr>
      </w:pPr>
    </w:p>
    <w:p>
      <w:pPr>
        <w:pStyle w:val="52"/>
        <w:jc w:val="center"/>
      </w:pPr>
      <w:r>
        <w:rPr>
          <w:b/>
          <w:bCs/>
          <w:color w:val="auto"/>
        </w:rPr>
        <w:t>4.2.5. Индикаторы достижения цели и непосредственные результаты реализации Подпрограммы 2</w:t>
      </w:r>
    </w:p>
    <w:p>
      <w:pPr>
        <w:pStyle w:val="52"/>
        <w:ind w:firstLine="720"/>
        <w:jc w:val="both"/>
      </w:pPr>
      <w:r>
        <w:rPr>
          <w:color w:val="auto"/>
        </w:rPr>
        <w:t>Информация о составе и значениях индикаторов, непосредственных результатах представлены в приложении 2 к Программе.</w:t>
      </w:r>
    </w:p>
    <w:p>
      <w:pPr>
        <w:widowControl w:val="0"/>
        <w:ind w:left="1080"/>
        <w:jc w:val="center"/>
        <w:rPr>
          <w:b/>
        </w:rPr>
      </w:pPr>
    </w:p>
    <w:p>
      <w:pPr>
        <w:widowControl w:val="0"/>
        <w:jc w:val="center"/>
      </w:pPr>
      <w:r>
        <w:rPr>
          <w:b/>
        </w:rPr>
        <w:t>4.2.6. Прогноз сводных показателей муниципальных заданий на оказание муниципальных услуг (работ) муниципальными учреждениями</w:t>
      </w:r>
    </w:p>
    <w:p>
      <w:pPr>
        <w:widowControl w:val="0"/>
        <w:ind w:firstLine="540"/>
        <w:jc w:val="both"/>
      </w:pPr>
      <w:r>
        <w:t>В реализации Подпрограммы 2 не предусматривается оказание муниципальными учреждения муниципальные услуги (работы) физическим и юридическим лицам.</w:t>
      </w:r>
    </w:p>
    <w:p>
      <w:pPr>
        <w:widowControl w:val="0"/>
        <w:ind w:firstLine="540"/>
        <w:jc w:val="both"/>
      </w:pPr>
    </w:p>
    <w:p>
      <w:pPr>
        <w:widowControl w:val="0"/>
        <w:jc w:val="center"/>
      </w:pPr>
      <w:r>
        <w:rPr>
          <w:b/>
        </w:rPr>
        <w:t>4.2.7. Участие муниципальных унитарных предприятий, акционерных обществ,</w:t>
      </w:r>
    </w:p>
    <w:p>
      <w:pPr>
        <w:widowControl w:val="0"/>
        <w:jc w:val="center"/>
      </w:pPr>
      <w:r>
        <w:rPr>
          <w:b/>
        </w:rPr>
        <w:t xml:space="preserve"> общественных, научных и иных организаций, а также внебюджетных фондов</w:t>
      </w:r>
    </w:p>
    <w:p>
      <w:pPr>
        <w:widowControl w:val="0"/>
        <w:ind w:firstLine="540"/>
        <w:jc w:val="both"/>
      </w:pPr>
      <w:r>
        <w:t>В реализации Подпрограммы 2 муниципальные унитарные предприятия, акционерные общества, общественные, научные и иные организации, а также внебюджетные фонды не участвуют.</w:t>
      </w:r>
    </w:p>
    <w:p>
      <w:pPr>
        <w:widowControl w:val="0"/>
        <w:ind w:firstLine="540"/>
        <w:jc w:val="both"/>
      </w:pPr>
    </w:p>
    <w:p>
      <w:pPr>
        <w:pStyle w:val="52"/>
        <w:jc w:val="center"/>
      </w:pPr>
      <w:r>
        <w:rPr>
          <w:b/>
          <w:bCs/>
          <w:color w:val="auto"/>
        </w:rPr>
        <w:t>4.2.8. Обоснование объема финансовых ресурсов Подпрограммы 2</w:t>
      </w:r>
    </w:p>
    <w:p>
      <w:pPr>
        <w:pStyle w:val="53"/>
        <w:ind w:firstLine="540"/>
        <w:jc w:val="both"/>
      </w:pPr>
      <w:r>
        <w:t>Общий объем финансирования Подпрограммы 2 за счет средств бюджета муниципального округа составляет 8597,13 тыс. рублей, с учетом средств из бюджетов других уровней – 8597,13тыс. рублей.</w:t>
      </w:r>
    </w:p>
    <w:p>
      <w:pPr>
        <w:widowControl w:val="0"/>
        <w:ind w:firstLine="720"/>
        <w:jc w:val="both"/>
      </w:pPr>
      <w:r>
        <w:t>Объемы финансирования по Подпрограмме 2 будут ежегодно уточняться исходя из возможностей бюджета муниципального округа на соответствующий период.</w:t>
      </w:r>
    </w:p>
    <w:p>
      <w:pPr>
        <w:widowControl w:val="0"/>
        <w:ind w:firstLine="720"/>
        <w:jc w:val="both"/>
      </w:pPr>
      <w:r>
        <w:t>Ресурсное обеспечение Подпрограммы 2 представлено в приложениях 3 и 4 к Программе.</w:t>
      </w:r>
    </w:p>
    <w:p>
      <w:pPr>
        <w:pStyle w:val="52"/>
        <w:jc w:val="center"/>
      </w:pPr>
      <w:r>
        <w:rPr>
          <w:b/>
          <w:bCs/>
          <w:color w:val="auto"/>
        </w:rPr>
        <w:t>4.2.9 Анализ рисков реализации Подпрограммы 2</w:t>
      </w:r>
    </w:p>
    <w:p>
      <w:pPr>
        <w:pStyle w:val="52"/>
        <w:ind w:firstLine="720"/>
        <w:jc w:val="both"/>
      </w:pPr>
      <w:r>
        <w:rPr>
          <w:color w:val="auto"/>
        </w:rPr>
        <w:t>Анализ рисков Подпрограммы 2 указаны в пункте 2.9.  Программы «Анализ рисков муниципальной программы»</w:t>
      </w:r>
    </w:p>
    <w:p>
      <w:pPr>
        <w:pStyle w:val="52"/>
        <w:ind w:firstLine="300"/>
        <w:jc w:val="both"/>
        <w:rPr>
          <w:color w:val="auto"/>
        </w:rPr>
      </w:pPr>
    </w:p>
    <w:p>
      <w:pPr>
        <w:widowControl w:val="0"/>
        <w:jc w:val="center"/>
      </w:pPr>
      <w:r>
        <w:rPr>
          <w:b/>
        </w:rPr>
        <w:t>4.2.10. Оценка планируемой эффективности Подпрограммы 2</w:t>
      </w:r>
    </w:p>
    <w:p>
      <w:pPr>
        <w:ind w:firstLine="540"/>
        <w:jc w:val="both"/>
      </w:pPr>
      <w:r>
        <w:t>Эффективность реализации подпрограммы 2 определяется по ее окончании степенью достижения значений индикаторов и непосредственных результатов подпрограммы.</w:t>
      </w:r>
    </w:p>
    <w:p>
      <w:pPr>
        <w:pStyle w:val="52"/>
        <w:ind w:firstLine="720"/>
        <w:jc w:val="both"/>
        <w:rPr>
          <w:color w:val="auto"/>
          <w:highlight w:val="yellow"/>
        </w:rPr>
      </w:pPr>
    </w:p>
    <w:p>
      <w:pPr>
        <w:pStyle w:val="52"/>
        <w:ind w:firstLine="720"/>
        <w:jc w:val="center"/>
      </w:pPr>
      <w:r>
        <w:rPr>
          <w:b/>
          <w:bCs/>
          <w:color w:val="auto"/>
        </w:rPr>
        <w:t xml:space="preserve">5. Подпрограмма 3 «Экология» </w:t>
      </w:r>
    </w:p>
    <w:p>
      <w:pPr>
        <w:pStyle w:val="52"/>
        <w:ind w:firstLine="720"/>
        <w:jc w:val="center"/>
      </w:pPr>
      <w:r>
        <w:rPr>
          <w:color w:val="auto"/>
        </w:rPr>
        <w:t>(далее - Подпрограмма 3)</w:t>
      </w:r>
    </w:p>
    <w:p>
      <w:pPr>
        <w:pStyle w:val="52"/>
        <w:ind w:firstLine="720"/>
        <w:jc w:val="center"/>
        <w:rPr>
          <w:color w:val="auto"/>
        </w:rPr>
      </w:pPr>
    </w:p>
    <w:p>
      <w:pPr>
        <w:pStyle w:val="52"/>
        <w:ind w:firstLine="720"/>
        <w:jc w:val="center"/>
      </w:pPr>
      <w:r>
        <w:rPr>
          <w:b/>
          <w:bCs/>
          <w:color w:val="auto"/>
        </w:rPr>
        <w:t>5.1. Паспорт Программы 3 «Экология»</w:t>
      </w:r>
    </w:p>
    <w:tbl>
      <w:tblPr>
        <w:tblStyle w:val="4"/>
        <w:tblW w:w="0" w:type="auto"/>
        <w:tblInd w:w="89" w:type="dxa"/>
        <w:tblLayout w:type="fixed"/>
        <w:tblCellMar>
          <w:top w:w="0" w:type="dxa"/>
          <w:left w:w="28" w:type="dxa"/>
          <w:bottom w:w="0" w:type="dxa"/>
          <w:right w:w="28" w:type="dxa"/>
        </w:tblCellMar>
      </w:tblPr>
      <w:tblGrid>
        <w:gridCol w:w="2318"/>
        <w:gridCol w:w="6986"/>
      </w:tblGrid>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Муниципальный заказчик-координатор  Подпрограммы.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 xml:space="preserve">Соисполнители  Подпрограммы. </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pPr>
            <w:r>
              <w:rPr>
                <w:color w:val="auto"/>
              </w:rPr>
              <w:t>Муниципальное казенное учреждение «Управление капитального строительства Богородского муниципального округа Нижегородской области», далее МКУ «УКС Богородского муниципального округа»</w:t>
            </w: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Цели Подпрограммы. .</w:t>
            </w:r>
          </w:p>
        </w:tc>
        <w:tc>
          <w:tcPr>
            <w:tcW w:w="6986" w:type="dxa"/>
            <w:tcBorders>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Улучшение экологической обстановке в Богородском муниципальном округе  Нижегородской области.</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Задачи  Подпрограммы.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11"/>
              <w:spacing w:after="0" w:line="240" w:lineRule="auto"/>
              <w:jc w:val="both"/>
            </w:pPr>
            <w:r>
              <w:t>Создание эффективных механизмов управления сферой обращения с отходами.</w:t>
            </w:r>
          </w:p>
          <w:p>
            <w:pPr>
              <w:pStyle w:val="11"/>
              <w:spacing w:after="0" w:line="240" w:lineRule="auto"/>
              <w:jc w:val="both"/>
            </w:pPr>
            <w:r>
              <w:t>Формирование и реализация проекта «Чистая страна»</w:t>
            </w:r>
          </w:p>
          <w:p>
            <w:pPr>
              <w:jc w:val="both"/>
            </w:pPr>
            <w:r>
              <w:t>Формирование и реализация «Оздоровление Волги»</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Этапы и сроки реализации  Подпрограммы. .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 xml:space="preserve"> 2021-2027 годы, без разделения на этапы.</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Объемы бюджетных ассигнований  Подпрограммы за счет  бюджета округа.</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jc w:val="both"/>
            </w:pPr>
            <w:r>
              <w:rPr>
                <w:sz w:val="22"/>
                <w:szCs w:val="22"/>
              </w:rPr>
              <w:t>Предполагаемый общий объем финансовых средств, необходимых для реализации Подпрограммы 3 «Экология»  всего 10908,07тыс. рублей, в том числе:</w:t>
            </w:r>
          </w:p>
          <w:p>
            <w:pPr>
              <w:pStyle w:val="52"/>
              <w:jc w:val="both"/>
            </w:pPr>
            <w:r>
              <w:rPr>
                <w:color w:val="auto"/>
                <w:sz w:val="22"/>
                <w:szCs w:val="22"/>
              </w:rPr>
              <w:t>2021 год –  2424,77тыс. рублей;</w:t>
            </w:r>
          </w:p>
          <w:p>
            <w:pPr>
              <w:pStyle w:val="52"/>
              <w:jc w:val="both"/>
            </w:pPr>
            <w:r>
              <w:rPr>
                <w:color w:val="auto"/>
                <w:sz w:val="22"/>
                <w:szCs w:val="22"/>
              </w:rPr>
              <w:t>2022 год –  8323,3 тыс. рублей;</w:t>
            </w:r>
          </w:p>
          <w:p>
            <w:pPr>
              <w:pStyle w:val="52"/>
              <w:jc w:val="both"/>
            </w:pPr>
            <w:r>
              <w:rPr>
                <w:color w:val="auto"/>
                <w:sz w:val="22"/>
                <w:szCs w:val="22"/>
              </w:rPr>
              <w:t>2023 год – 160,0тыс. рублей;</w:t>
            </w:r>
          </w:p>
          <w:p>
            <w:pPr>
              <w:pStyle w:val="52"/>
              <w:jc w:val="both"/>
            </w:pPr>
            <w:r>
              <w:rPr>
                <w:color w:val="auto"/>
                <w:sz w:val="22"/>
                <w:szCs w:val="22"/>
              </w:rPr>
              <w:t>2024 год – 0,0тыс. рублей;</w:t>
            </w:r>
          </w:p>
          <w:p>
            <w:pPr>
              <w:pStyle w:val="52"/>
              <w:jc w:val="both"/>
            </w:pPr>
            <w:r>
              <w:rPr>
                <w:color w:val="auto"/>
                <w:sz w:val="22"/>
                <w:szCs w:val="22"/>
              </w:rPr>
              <w:t>2025 год – 0 ,0тыс. рублей;</w:t>
            </w:r>
          </w:p>
          <w:p>
            <w:pPr>
              <w:pStyle w:val="52"/>
              <w:jc w:val="both"/>
            </w:pPr>
            <w:r>
              <w:rPr>
                <w:color w:val="auto"/>
                <w:sz w:val="22"/>
                <w:szCs w:val="22"/>
              </w:rPr>
              <w:t>2026 год – 0 ,0тыс. рублей;</w:t>
            </w:r>
          </w:p>
          <w:p>
            <w:pPr>
              <w:pStyle w:val="52"/>
              <w:jc w:val="both"/>
            </w:pPr>
            <w:r>
              <w:rPr>
                <w:color w:val="auto"/>
                <w:sz w:val="22"/>
                <w:szCs w:val="22"/>
              </w:rPr>
              <w:t>2027год-  0,0 тыс. рублей;</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 xml:space="preserve">Индикаторы достижения цели  и показатели непосредственных результатов </w:t>
            </w:r>
          </w:p>
        </w:tc>
        <w:tc>
          <w:tcPr>
            <w:tcW w:w="698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ind w:firstLine="36"/>
              <w:jc w:val="both"/>
            </w:pPr>
            <w:r>
              <w:rPr>
                <w:color w:val="auto"/>
              </w:rPr>
              <w:t xml:space="preserve">По итогам реализации Подпрограммы 3 «Экология» будут достигнуты следующие значения индикаторов </w:t>
            </w:r>
          </w:p>
          <w:p>
            <w:pPr>
              <w:pStyle w:val="52"/>
              <w:ind w:firstLine="36"/>
              <w:jc w:val="both"/>
            </w:pPr>
            <w:r>
              <w:rPr>
                <w:color w:val="auto"/>
              </w:rPr>
              <w:t xml:space="preserve">Индикаторы: </w:t>
            </w:r>
            <w:r>
              <w:rPr>
                <w:color w:val="auto"/>
                <w:sz w:val="22"/>
                <w:szCs w:val="22"/>
              </w:rPr>
              <w:t>Увеличение производительности очистных сооружений, за счет развития централизованных сетей водоотведения на 40%</w:t>
            </w:r>
          </w:p>
          <w:p>
            <w:pPr>
              <w:pStyle w:val="52"/>
              <w:ind w:firstLine="36"/>
              <w:jc w:val="both"/>
            </w:pPr>
            <w:r>
              <w:rPr>
                <w:color w:val="auto"/>
                <w:sz w:val="22"/>
                <w:szCs w:val="22"/>
              </w:rPr>
              <w:t>Непосредственные результаты Производительность очистных сооружений Богородского муниципального округа до 15 тыс. м куб/сутки</w:t>
            </w:r>
          </w:p>
        </w:tc>
      </w:tr>
    </w:tbl>
    <w:p>
      <w:pPr>
        <w:pStyle w:val="52"/>
        <w:ind w:firstLine="720"/>
        <w:jc w:val="center"/>
        <w:rPr>
          <w:b/>
          <w:bCs/>
          <w:color w:val="auto"/>
        </w:rPr>
      </w:pPr>
    </w:p>
    <w:p>
      <w:pPr>
        <w:pStyle w:val="52"/>
        <w:ind w:firstLine="720"/>
        <w:jc w:val="center"/>
        <w:rPr>
          <w:b/>
          <w:bCs/>
          <w:color w:val="auto"/>
        </w:rPr>
      </w:pPr>
    </w:p>
    <w:p>
      <w:pPr>
        <w:pStyle w:val="52"/>
        <w:jc w:val="center"/>
      </w:pPr>
      <w:r>
        <w:rPr>
          <w:b/>
          <w:bCs/>
          <w:color w:val="auto"/>
        </w:rPr>
        <w:t>5.2. Текущее состояние сферы реализации Программы 3</w:t>
      </w:r>
    </w:p>
    <w:p>
      <w:pPr>
        <w:pStyle w:val="52"/>
        <w:ind w:firstLine="720"/>
        <w:jc w:val="both"/>
        <w:rPr>
          <w:b/>
          <w:bCs/>
          <w:color w:val="auto"/>
        </w:rPr>
      </w:pPr>
    </w:p>
    <w:p>
      <w:pPr>
        <w:pStyle w:val="52"/>
        <w:jc w:val="center"/>
      </w:pPr>
      <w:r>
        <w:rPr>
          <w:b/>
          <w:bCs/>
          <w:color w:val="auto"/>
        </w:rPr>
        <w:t>5.2.1. Характеристика текущего состояния</w:t>
      </w:r>
    </w:p>
    <w:p>
      <w:pPr>
        <w:pStyle w:val="52"/>
        <w:ind w:firstLine="720"/>
        <w:jc w:val="both"/>
      </w:pPr>
      <w:r>
        <w:rPr>
          <w:color w:val="auto"/>
        </w:rPr>
        <w:t>Существующая в Богородском муниципальном округе проблема обращения с отходами приводит не только к неблагоприятным экологическим и экономическим последствиям, но и способствует нарастанию социальной напряженности.</w:t>
      </w:r>
    </w:p>
    <w:p>
      <w:pPr>
        <w:pStyle w:val="52"/>
        <w:ind w:firstLine="720"/>
        <w:jc w:val="both"/>
      </w:pPr>
      <w:r>
        <w:rPr>
          <w:color w:val="auto"/>
        </w:rPr>
        <w:t>Основными причинами сложившейся ситуации в сфере обращения отходов являются:</w:t>
      </w:r>
    </w:p>
    <w:p>
      <w:pPr>
        <w:pStyle w:val="52"/>
        <w:ind w:firstLine="720"/>
        <w:jc w:val="both"/>
      </w:pPr>
      <w:r>
        <w:rPr>
          <w:color w:val="auto"/>
        </w:rPr>
        <w:t>- изменившаяся структура потребления населения (за последние 15 лет значительно изменились как объемы образования ТБО на душу населения, так и их структура). Изменение структуры в первую очередь обусловлено увеличением доли различного рода упаковки в структуре отходов, а также увеличением доли новых видов отходов, до этого не свойственных прежней структуре потребления;</w:t>
      </w:r>
    </w:p>
    <w:p>
      <w:pPr>
        <w:pStyle w:val="52"/>
        <w:ind w:firstLine="720"/>
        <w:jc w:val="both"/>
      </w:pPr>
      <w:r>
        <w:rPr>
          <w:color w:val="auto"/>
        </w:rPr>
        <w:t>- накопленные проблемы предшествующих периодов - имеется значительное количество отходов, не утилизированных из-за отсутствия технологий переработки;</w:t>
      </w:r>
    </w:p>
    <w:p>
      <w:pPr>
        <w:pStyle w:val="52"/>
        <w:ind w:firstLine="720"/>
        <w:jc w:val="both"/>
      </w:pPr>
      <w:r>
        <w:rPr>
          <w:color w:val="auto"/>
        </w:rPr>
        <w:t>- устаревшая и не отвечающая современному состоянию технология сбора и переработки отходов;</w:t>
      </w:r>
    </w:p>
    <w:p>
      <w:pPr>
        <w:pStyle w:val="52"/>
        <w:ind w:firstLine="720"/>
        <w:jc w:val="both"/>
      </w:pPr>
      <w:r>
        <w:rPr>
          <w:color w:val="auto"/>
        </w:rPr>
        <w:t xml:space="preserve">- возникновение новых тенденций в сфере международного экологического права - глобальный подход при решении проблем парникового эффекта требует новых механизмов размещения отходов, переработки и рекультивации полигонов. </w:t>
      </w:r>
    </w:p>
    <w:p>
      <w:pPr>
        <w:pStyle w:val="52"/>
        <w:ind w:firstLine="720"/>
        <w:jc w:val="both"/>
      </w:pPr>
      <w:r>
        <w:rPr>
          <w:color w:val="auto"/>
        </w:rPr>
        <w:t>Эксплуатируемый около 47 лет полигон «Богородский», предназначенный для захоронения бытовых отходов 4-5 классов опасности не соответствует санитарным и экологическим требованиям. Полигон расположен слева от автодороги «Богородск-Лакша» на юго-восточной окраине города Богородска. Участок складирования отходов представляет собой частично заполненный овраг. Там же на расстоянии 1км протекает река Рязанка, являющаяся левым притоком р. Великая. Занимаемая площадь данного полигона составляет 42,5 Га, объем накопленных отходов 1,5 милю куб. м. В условиях, сложившихся на полигоне по причине несоблюдения технологии захоронения, отходы подвергаются интенсивному биохимическому разложению, которое вызывает, в частности, генерацию свалочного газа (биогаза). Эмиссия биогаза, поступающего в природную среду, формирует негативные эффекты как локального, так и глобального характера.</w:t>
      </w:r>
    </w:p>
    <w:p>
      <w:pPr>
        <w:pStyle w:val="52"/>
        <w:ind w:firstLine="720"/>
        <w:jc w:val="both"/>
      </w:pPr>
      <w:r>
        <w:rPr>
          <w:color w:val="auto"/>
        </w:rPr>
        <w:t>Экономика района носит промышленный характер, что обусловливает образование широкого спектра промышленных отходов.</w:t>
      </w:r>
    </w:p>
    <w:p>
      <w:pPr>
        <w:ind w:firstLine="720"/>
        <w:jc w:val="both"/>
      </w:pPr>
      <w:r>
        <w:t>Одной из основных задач является введение раздельного накопления твердых коммунальных отходов. Внедрение планируется осуществить поэтапно. В первую очередь контейнерные площадки планируется оснастить сетчатым контейнером для сбора пластиковой бутылки.</w:t>
      </w:r>
      <w:bookmarkStart w:id="8" w:name="redstr192"/>
      <w:bookmarkEnd w:id="8"/>
      <w:r>
        <w:t xml:space="preserve"> В Богородском муниципальном округе отмечается недостаточное количество обустроенных контейнерных площадок. Планируется обустройство контейнерных площадок и закупку необходимого количества контейнеров и бункеров. В настоящее время проводятся работы по приведении мест накопления ТКО в соответствии с действующим законодательством. </w:t>
      </w:r>
    </w:p>
    <w:p>
      <w:pPr>
        <w:pStyle w:val="52"/>
        <w:ind w:firstLine="720"/>
        <w:jc w:val="center"/>
        <w:rPr>
          <w:b/>
          <w:bCs/>
          <w:color w:val="auto"/>
        </w:rPr>
      </w:pPr>
    </w:p>
    <w:p>
      <w:pPr>
        <w:pStyle w:val="52"/>
        <w:ind w:firstLine="720"/>
        <w:jc w:val="center"/>
      </w:pPr>
      <w:r>
        <w:rPr>
          <w:b/>
          <w:bCs/>
          <w:color w:val="auto"/>
        </w:rPr>
        <w:t>5.2.2. Цели и задачи Подпрограммы 3</w:t>
      </w:r>
    </w:p>
    <w:p>
      <w:pPr>
        <w:pStyle w:val="11"/>
        <w:spacing w:line="240" w:lineRule="auto"/>
        <w:ind w:firstLine="720"/>
        <w:jc w:val="both"/>
      </w:pPr>
      <w:bookmarkStart w:id="9" w:name="P002B"/>
      <w:bookmarkEnd w:id="9"/>
      <w:r>
        <w:t xml:space="preserve">Основными целями Программы 3 являются улучшение экологической обстановки в Богородском районе и создание эффективных механизмов управления сферой обращения с отходами. Для этого предусматривается формирование и реализация комплекса мероприятий,  обеспечивающих экологически безопасное  захоронение и переработку отходов, ликвидацию накопленного предыдущей хозяйственной деятельностью  вреда, ликвидацию несанкционированных свалок на территории района, представляющих опасность для окружающей среды и санитарно-эпидемиологического благополучия населения, обустройство мест накопления ТКО, реализация федерального проекта» Чистая страна» и федерального проекта «Оздоровление Волги» </w:t>
      </w:r>
    </w:p>
    <w:p>
      <w:pPr>
        <w:pStyle w:val="52"/>
        <w:jc w:val="center"/>
      </w:pPr>
      <w:r>
        <w:rPr>
          <w:b/>
          <w:bCs/>
          <w:color w:val="auto"/>
        </w:rPr>
        <w:t>5.2.3. Сроки и этапы реализации Подпрограммы 3</w:t>
      </w:r>
    </w:p>
    <w:p>
      <w:pPr>
        <w:pStyle w:val="52"/>
        <w:ind w:firstLine="720"/>
        <w:jc w:val="both"/>
      </w:pPr>
      <w:r>
        <w:rPr>
          <w:color w:val="auto"/>
        </w:rPr>
        <w:t>Подпрограмма 3 реализуется в течение 2021-2027годов без разделения на этапы.</w:t>
      </w:r>
    </w:p>
    <w:p>
      <w:pPr>
        <w:pStyle w:val="52"/>
        <w:jc w:val="both"/>
        <w:rPr>
          <w:color w:val="auto"/>
        </w:rPr>
      </w:pPr>
    </w:p>
    <w:p>
      <w:pPr>
        <w:pStyle w:val="52"/>
        <w:jc w:val="center"/>
      </w:pPr>
      <w:r>
        <w:rPr>
          <w:b/>
          <w:bCs/>
          <w:color w:val="auto"/>
        </w:rPr>
        <w:t>5.2.4. Перечень основных мероприятий Подпрограммы 3</w:t>
      </w:r>
    </w:p>
    <w:p>
      <w:pPr>
        <w:pStyle w:val="52"/>
        <w:ind w:firstLine="300"/>
        <w:jc w:val="both"/>
      </w:pPr>
      <w:r>
        <w:rPr>
          <w:color w:val="auto"/>
        </w:rPr>
        <w:t xml:space="preserve">Информация об основных мероприятиях представлена в приложении 1 к Программе. </w:t>
      </w:r>
    </w:p>
    <w:p>
      <w:pPr>
        <w:pStyle w:val="52"/>
        <w:ind w:firstLine="300"/>
        <w:jc w:val="both"/>
        <w:rPr>
          <w:color w:val="auto"/>
        </w:rPr>
      </w:pPr>
    </w:p>
    <w:p>
      <w:pPr>
        <w:pStyle w:val="52"/>
        <w:jc w:val="center"/>
      </w:pPr>
      <w:r>
        <w:rPr>
          <w:b/>
          <w:bCs/>
          <w:color w:val="auto"/>
        </w:rPr>
        <w:t>5.2.5. Индикаторы достижения цели и непосредственные результаты реализации Подпрограммы 3</w:t>
      </w:r>
    </w:p>
    <w:p>
      <w:pPr>
        <w:pStyle w:val="52"/>
        <w:ind w:firstLine="720"/>
        <w:jc w:val="both"/>
      </w:pPr>
      <w:r>
        <w:rPr>
          <w:color w:val="auto"/>
        </w:rPr>
        <w:t>Информация о составе и значениях индикаторов, непосредственных результатах представлены  в приложении 2 к Программе.</w:t>
      </w:r>
    </w:p>
    <w:p>
      <w:pPr>
        <w:pStyle w:val="52"/>
        <w:ind w:firstLine="720"/>
        <w:jc w:val="both"/>
        <w:rPr>
          <w:color w:val="auto"/>
        </w:rPr>
      </w:pPr>
    </w:p>
    <w:p>
      <w:pPr>
        <w:widowControl w:val="0"/>
        <w:jc w:val="center"/>
      </w:pPr>
      <w:r>
        <w:rPr>
          <w:b/>
        </w:rPr>
        <w:t>5.2.6. Прогноз сводных показателей муниципальных заданий на оказание муниципальных услуг (работ) муниципальными учреждениями</w:t>
      </w:r>
    </w:p>
    <w:p>
      <w:pPr>
        <w:widowControl w:val="0"/>
        <w:ind w:firstLine="540"/>
        <w:jc w:val="both"/>
      </w:pPr>
      <w:r>
        <w:t>В реализации Подпрограммы 3 не предусматривается оказание муниципальными учреждения муниципальные услуги (работы) физическим и юридическим лицам.</w:t>
      </w:r>
    </w:p>
    <w:p>
      <w:pPr>
        <w:widowControl w:val="0"/>
        <w:ind w:firstLine="540"/>
        <w:jc w:val="both"/>
      </w:pPr>
    </w:p>
    <w:p>
      <w:pPr>
        <w:widowControl w:val="0"/>
        <w:jc w:val="center"/>
      </w:pPr>
      <w:r>
        <w:rPr>
          <w:b/>
        </w:rPr>
        <w:t>5.2.7. Участие муниципальных унитарных предприятий, акционерных обществ, общественных, научных и иных организаций, а также внебюджетных фондов</w:t>
      </w:r>
    </w:p>
    <w:p>
      <w:pPr>
        <w:widowControl w:val="0"/>
        <w:ind w:firstLine="540"/>
        <w:jc w:val="both"/>
      </w:pPr>
      <w:r>
        <w:t>В реализации Подпрограммы 3 муниципальные унитарные предприятия, акционерные общества, общественные, научные и иные организации, а также внебюджетные фонды не участвуют.</w:t>
      </w:r>
    </w:p>
    <w:p>
      <w:pPr>
        <w:widowControl w:val="0"/>
        <w:ind w:firstLine="540"/>
        <w:jc w:val="both"/>
      </w:pPr>
    </w:p>
    <w:p>
      <w:pPr>
        <w:pStyle w:val="52"/>
        <w:jc w:val="center"/>
      </w:pPr>
      <w:r>
        <w:rPr>
          <w:b/>
          <w:bCs/>
          <w:color w:val="auto"/>
        </w:rPr>
        <w:t>5.2.8 Обоснование объема финансовых ресурсов Подпрограммы 3</w:t>
      </w:r>
    </w:p>
    <w:p>
      <w:pPr>
        <w:pStyle w:val="53"/>
        <w:ind w:firstLine="540"/>
        <w:jc w:val="both"/>
      </w:pPr>
      <w:r>
        <w:t>Общий объем финансирования Подпрограммы 3 за счет средств бюджета муниципального округа составляет 10908,07 тыс. рублей, с учетом средств из бюджетов других уровней – 1 291 106,63 тыс. рублей.</w:t>
      </w:r>
    </w:p>
    <w:p>
      <w:pPr>
        <w:widowControl w:val="0"/>
        <w:ind w:firstLine="720"/>
        <w:jc w:val="both"/>
      </w:pPr>
      <w:r>
        <w:t>Объемы финансирования по Подпрограмме 3 будут ежегодно уточняться исходя из возможностей бюджета муниципального округа на соответствующий период.</w:t>
      </w:r>
    </w:p>
    <w:p>
      <w:pPr>
        <w:widowControl w:val="0"/>
        <w:ind w:firstLine="720"/>
        <w:jc w:val="both"/>
      </w:pPr>
      <w:r>
        <w:t>Ресурсное обеспечение Подпрограммы 3 представлено в приложениях 3 и 4 к Программе.</w:t>
      </w:r>
    </w:p>
    <w:p>
      <w:pPr>
        <w:pStyle w:val="52"/>
        <w:ind w:firstLine="720"/>
        <w:jc w:val="both"/>
        <w:rPr>
          <w:color w:val="auto"/>
        </w:rPr>
      </w:pPr>
    </w:p>
    <w:p>
      <w:pPr>
        <w:pStyle w:val="52"/>
        <w:jc w:val="center"/>
      </w:pPr>
      <w:r>
        <w:rPr>
          <w:b/>
          <w:bCs/>
          <w:color w:val="auto"/>
        </w:rPr>
        <w:t>5.2.9. Анализ рисков реализации Подпрограммы 3</w:t>
      </w:r>
    </w:p>
    <w:p>
      <w:pPr>
        <w:pStyle w:val="52"/>
        <w:ind w:firstLine="720"/>
        <w:jc w:val="both"/>
      </w:pPr>
      <w:r>
        <w:rPr>
          <w:color w:val="auto"/>
        </w:rPr>
        <w:t>Анализ рисков Подпрограммы 3 указаны в пункте 2.9. Программы «Анализ рисков муниципальной программы»</w:t>
      </w:r>
    </w:p>
    <w:p>
      <w:pPr>
        <w:pStyle w:val="52"/>
        <w:ind w:firstLine="720"/>
        <w:jc w:val="both"/>
        <w:rPr>
          <w:color w:val="auto"/>
        </w:rPr>
      </w:pPr>
    </w:p>
    <w:p>
      <w:pPr>
        <w:widowControl w:val="0"/>
        <w:jc w:val="center"/>
      </w:pPr>
      <w:r>
        <w:rPr>
          <w:b/>
        </w:rPr>
        <w:t>5.2.10. Оценка планируемой эффективности Подпрограммы 3</w:t>
      </w:r>
    </w:p>
    <w:p>
      <w:pPr>
        <w:ind w:firstLine="540"/>
        <w:jc w:val="both"/>
      </w:pPr>
      <w:r>
        <w:t>Эффективность реализации подпрограммы 3 определяется по ее окончании степенью достижения значений индикаторов и непосредственных результатов подпрограммы.</w:t>
      </w:r>
    </w:p>
    <w:p>
      <w:pPr>
        <w:ind w:firstLine="540"/>
        <w:jc w:val="both"/>
      </w:pPr>
    </w:p>
    <w:p>
      <w:pPr>
        <w:widowControl w:val="0"/>
        <w:jc w:val="center"/>
      </w:pPr>
      <w:r>
        <w:rPr>
          <w:b/>
        </w:rPr>
        <w:t>6. Подпрограмма</w:t>
      </w:r>
    </w:p>
    <w:p>
      <w:pPr>
        <w:widowControl w:val="0"/>
        <w:jc w:val="center"/>
      </w:pPr>
      <w:r>
        <w:rPr>
          <w:b/>
        </w:rPr>
        <w:t xml:space="preserve">«Обеспечение реализации муниципальной программы» </w:t>
      </w:r>
    </w:p>
    <w:p>
      <w:pPr>
        <w:widowControl w:val="0"/>
        <w:jc w:val="center"/>
      </w:pPr>
      <w:r>
        <w:rPr>
          <w:bCs/>
        </w:rPr>
        <w:t>(далее - Подпрограмма)</w:t>
      </w:r>
    </w:p>
    <w:p>
      <w:pPr>
        <w:widowControl w:val="0"/>
        <w:jc w:val="center"/>
      </w:pPr>
      <w:r>
        <w:rPr>
          <w:b/>
        </w:rPr>
        <w:t>6.1. Паспорт Подпрограммы</w:t>
      </w:r>
    </w:p>
    <w:p>
      <w:pPr>
        <w:widowControl w:val="0"/>
        <w:jc w:val="center"/>
      </w:pPr>
      <w:r>
        <w:rPr>
          <w:b/>
        </w:rPr>
        <w:t xml:space="preserve"> «Обеспечение реализации муниципальной программы»</w:t>
      </w:r>
    </w:p>
    <w:p>
      <w:pPr>
        <w:pStyle w:val="52"/>
        <w:ind w:firstLine="720"/>
        <w:jc w:val="both"/>
        <w:rPr>
          <w:b/>
          <w:color w:val="auto"/>
        </w:rPr>
      </w:pPr>
    </w:p>
    <w:tbl>
      <w:tblPr>
        <w:tblStyle w:val="4"/>
        <w:tblW w:w="0" w:type="auto"/>
        <w:tblInd w:w="89" w:type="dxa"/>
        <w:tblLayout w:type="fixed"/>
        <w:tblCellMar>
          <w:top w:w="0" w:type="dxa"/>
          <w:left w:w="28" w:type="dxa"/>
          <w:bottom w:w="0" w:type="dxa"/>
          <w:right w:w="28" w:type="dxa"/>
        </w:tblCellMar>
      </w:tblPr>
      <w:tblGrid>
        <w:gridCol w:w="2318"/>
        <w:gridCol w:w="7004"/>
      </w:tblGrid>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rPr>
                <w:color w:val="auto"/>
              </w:rPr>
            </w:pPr>
            <w:r>
              <w:rPr>
                <w:color w:val="auto"/>
              </w:rPr>
              <w:t xml:space="preserve">Муниципальный заказчик-координатор  Подпрограммы. </w:t>
            </w:r>
          </w:p>
          <w:p>
            <w:pPr>
              <w:pStyle w:val="52"/>
            </w:pP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pPr>
            <w:r>
              <w:rPr>
                <w:color w:val="auto"/>
              </w:rPr>
              <w:t xml:space="preserve">Промышленно-экономическое управление и ЖКХ  администрации Богородского муниципального округа Нижегородской области </w:t>
            </w: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 xml:space="preserve">Соисполнители  Подпрограммы. </w:t>
            </w:r>
          </w:p>
        </w:tc>
        <w:tc>
          <w:tcPr>
            <w:tcW w:w="7004" w:type="dxa"/>
            <w:tcBorders>
              <w:left w:val="single" w:color="000000" w:sz="2" w:space="0"/>
              <w:bottom w:val="single" w:color="000000" w:sz="2" w:space="0"/>
              <w:right w:val="single" w:color="000000" w:sz="2" w:space="0"/>
            </w:tcBorders>
            <w:shd w:val="clear" w:color="auto" w:fill="auto"/>
            <w:noWrap w:val="0"/>
            <w:vAlign w:val="top"/>
          </w:tcPr>
          <w:p>
            <w:pPr>
              <w:pStyle w:val="52"/>
              <w:snapToGrid w:val="0"/>
              <w:rPr>
                <w:color w:val="auto"/>
              </w:rPr>
            </w:pPr>
          </w:p>
        </w:tc>
      </w:tr>
      <w:tr>
        <w:tblPrEx>
          <w:tblCellMar>
            <w:top w:w="0" w:type="dxa"/>
            <w:left w:w="28" w:type="dxa"/>
            <w:bottom w:w="0" w:type="dxa"/>
            <w:right w:w="28" w:type="dxa"/>
          </w:tblCellMar>
        </w:tblPrEx>
        <w:trPr>
          <w:wBefore w:w="0" w:type="auto"/>
        </w:trPr>
        <w:tc>
          <w:tcPr>
            <w:tcW w:w="2318" w:type="dxa"/>
            <w:tcBorders>
              <w:left w:val="single" w:color="000000" w:sz="2" w:space="0"/>
              <w:bottom w:val="single" w:color="000000" w:sz="2" w:space="0"/>
            </w:tcBorders>
            <w:shd w:val="clear" w:color="auto" w:fill="auto"/>
            <w:noWrap w:val="0"/>
            <w:vAlign w:val="top"/>
          </w:tcPr>
          <w:p>
            <w:pPr>
              <w:pStyle w:val="52"/>
            </w:pPr>
            <w:r>
              <w:rPr>
                <w:color w:val="auto"/>
              </w:rPr>
              <w:t>Цели Подпрограммы.  .</w:t>
            </w:r>
          </w:p>
        </w:tc>
        <w:tc>
          <w:tcPr>
            <w:tcW w:w="7004" w:type="dxa"/>
            <w:tcBorders>
              <w:left w:val="single" w:color="000000" w:sz="2" w:space="0"/>
              <w:bottom w:val="single" w:color="000000" w:sz="2" w:space="0"/>
              <w:right w:val="single" w:color="000000" w:sz="2" w:space="0"/>
            </w:tcBorders>
            <w:shd w:val="clear" w:color="auto" w:fill="auto"/>
            <w:noWrap w:val="0"/>
            <w:vAlign w:val="top"/>
          </w:tcPr>
          <w:p>
            <w:pPr>
              <w:pStyle w:val="49"/>
              <w:spacing w:after="283"/>
              <w:jc w:val="both"/>
            </w:pPr>
            <w:r>
              <w:t>Создание необходимых условий для эффективной реализации муниципальной программы</w:t>
            </w:r>
          </w:p>
        </w:tc>
      </w:tr>
      <w:tr>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Задачи  Подпрограммы.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Повышение эффективности и результативности расходования бюджетных средств в сфере реализации муниципальной программы.</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pPr>
            <w:r>
              <w:rPr>
                <w:color w:val="auto"/>
              </w:rPr>
              <w:t xml:space="preserve">Этапы и сроки реализации  Подпрограммы. .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jc w:val="both"/>
            </w:pPr>
            <w:r>
              <w:rPr>
                <w:color w:val="auto"/>
              </w:rPr>
              <w:t xml:space="preserve"> 2021-2027 годы, без разделения на этапы.</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Объемы бюджетных ассигнований  Подпрограммы за счет бюджета округа.</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jc w:val="both"/>
            </w:pPr>
            <w:r>
              <w:rPr>
                <w:sz w:val="22"/>
                <w:szCs w:val="22"/>
              </w:rPr>
              <w:t>Предполагаемый общий объем финансовых средств, необходимых для реализации Подпрограммы  «</w:t>
            </w:r>
            <w:r>
              <w:t>Обеспечение реализации муниципальной программы»</w:t>
            </w:r>
            <w:r>
              <w:rPr>
                <w:sz w:val="22"/>
                <w:szCs w:val="22"/>
              </w:rPr>
              <w:t xml:space="preserve">  всего 0,0тыс. рублей, в том числе:</w:t>
            </w:r>
          </w:p>
          <w:p>
            <w:pPr>
              <w:pStyle w:val="52"/>
              <w:jc w:val="both"/>
            </w:pPr>
            <w:r>
              <w:rPr>
                <w:color w:val="auto"/>
                <w:sz w:val="22"/>
                <w:szCs w:val="22"/>
              </w:rPr>
              <w:t>2021 год –  0,0тыс. рублей;</w:t>
            </w:r>
          </w:p>
          <w:p>
            <w:pPr>
              <w:pStyle w:val="52"/>
              <w:jc w:val="both"/>
            </w:pPr>
            <w:r>
              <w:rPr>
                <w:color w:val="auto"/>
                <w:sz w:val="22"/>
                <w:szCs w:val="22"/>
              </w:rPr>
              <w:t>2022 год –  0,0тыс. рублей;</w:t>
            </w:r>
          </w:p>
          <w:p>
            <w:pPr>
              <w:pStyle w:val="52"/>
              <w:jc w:val="both"/>
            </w:pPr>
            <w:r>
              <w:rPr>
                <w:color w:val="auto"/>
                <w:sz w:val="22"/>
                <w:szCs w:val="22"/>
              </w:rPr>
              <w:t>2023 год – 0,0тыс. рублей;</w:t>
            </w:r>
          </w:p>
          <w:p>
            <w:pPr>
              <w:pStyle w:val="52"/>
              <w:jc w:val="both"/>
            </w:pPr>
            <w:r>
              <w:rPr>
                <w:color w:val="auto"/>
                <w:sz w:val="22"/>
                <w:szCs w:val="22"/>
              </w:rPr>
              <w:t>2024 год – 0,0тыс. рублей;</w:t>
            </w:r>
          </w:p>
          <w:p>
            <w:pPr>
              <w:pStyle w:val="52"/>
              <w:jc w:val="both"/>
            </w:pPr>
            <w:r>
              <w:rPr>
                <w:color w:val="auto"/>
                <w:sz w:val="22"/>
                <w:szCs w:val="22"/>
              </w:rPr>
              <w:t>2025 год – 0 ,0тыс. рублей;</w:t>
            </w:r>
          </w:p>
          <w:p>
            <w:pPr>
              <w:pStyle w:val="52"/>
              <w:jc w:val="both"/>
            </w:pPr>
            <w:r>
              <w:rPr>
                <w:color w:val="auto"/>
                <w:sz w:val="22"/>
                <w:szCs w:val="22"/>
              </w:rPr>
              <w:t>2026 год – 0 ,0тыс. рублей;</w:t>
            </w:r>
          </w:p>
          <w:p>
            <w:pPr>
              <w:pStyle w:val="52"/>
              <w:jc w:val="both"/>
            </w:pPr>
            <w:r>
              <w:rPr>
                <w:color w:val="auto"/>
                <w:sz w:val="22"/>
                <w:szCs w:val="22"/>
              </w:rPr>
              <w:t>2027год-  0,0 тыс. рублей;</w:t>
            </w:r>
          </w:p>
        </w:tc>
      </w:tr>
      <w:tr>
        <w:tblPrEx>
          <w:tblCellMar>
            <w:top w:w="0" w:type="dxa"/>
            <w:left w:w="28" w:type="dxa"/>
            <w:bottom w:w="0" w:type="dxa"/>
            <w:right w:w="28" w:type="dxa"/>
          </w:tblCellMar>
        </w:tblPrEx>
        <w:trPr>
          <w:wBefore w:w="0" w:type="auto"/>
        </w:trPr>
        <w:tc>
          <w:tcPr>
            <w:tcW w:w="2318" w:type="dxa"/>
            <w:tcBorders>
              <w:top w:val="single" w:color="000000" w:sz="2" w:space="0"/>
              <w:left w:val="single" w:color="000000" w:sz="2" w:space="0"/>
              <w:bottom w:val="single" w:color="000000" w:sz="2" w:space="0"/>
            </w:tcBorders>
            <w:shd w:val="clear" w:color="auto" w:fill="auto"/>
            <w:noWrap w:val="0"/>
            <w:vAlign w:val="top"/>
          </w:tcPr>
          <w:p>
            <w:pPr>
              <w:pStyle w:val="52"/>
              <w:jc w:val="both"/>
            </w:pPr>
            <w:r>
              <w:rPr>
                <w:color w:val="auto"/>
              </w:rPr>
              <w:t xml:space="preserve">Показатели непосредственных результатов </w:t>
            </w:r>
          </w:p>
        </w:tc>
        <w:tc>
          <w:tcPr>
            <w:tcW w:w="7004"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pStyle w:val="52"/>
              <w:ind w:firstLine="36"/>
              <w:jc w:val="both"/>
            </w:pPr>
            <w:r>
              <w:rPr>
                <w:color w:val="auto"/>
                <w:sz w:val="22"/>
                <w:szCs w:val="22"/>
              </w:rPr>
              <w:t>Обеспечение выполнения задач, мероприятия и показатели  предусмотренные муниципальной программой и ее подпрограммами за период реализации программы.</w:t>
            </w:r>
          </w:p>
        </w:tc>
      </w:tr>
    </w:tbl>
    <w:p>
      <w:pPr>
        <w:ind w:firstLine="300"/>
        <w:jc w:val="both"/>
      </w:pPr>
    </w:p>
    <w:p>
      <w:pPr>
        <w:widowControl w:val="0"/>
        <w:ind w:firstLine="720"/>
        <w:jc w:val="both"/>
      </w:pPr>
      <w:r>
        <w:t xml:space="preserve">Достижение поставленной цели Подпрограммы будет осуществлено посредством реализации основного мероприятия </w:t>
      </w:r>
      <w:r>
        <w:rPr>
          <w:b/>
        </w:rPr>
        <w:t>«Содержание аппарата управления».</w:t>
      </w:r>
    </w:p>
    <w:p>
      <w:pPr>
        <w:widowControl w:val="0"/>
        <w:ind w:firstLine="720"/>
        <w:jc w:val="both"/>
      </w:pPr>
      <w:r>
        <w:t>Аналитическое распределение средств бюджета Подпрограммы «Обеспечение реализации муниципальной программы» по подпрограммам муниципальной программы представлено в приложении 5 к Программе.</w:t>
      </w:r>
    </w:p>
    <w:p>
      <w:pPr>
        <w:widowControl w:val="0"/>
        <w:ind w:firstLine="720"/>
        <w:jc w:val="both"/>
      </w:pPr>
    </w:p>
    <w:p>
      <w:pPr>
        <w:pStyle w:val="52"/>
        <w:jc w:val="center"/>
      </w:pPr>
      <w:r>
        <w:rPr>
          <w:b/>
          <w:bCs/>
          <w:color w:val="auto"/>
        </w:rPr>
        <w:t>7. Оценка планируемой эффективности Программы</w:t>
      </w:r>
    </w:p>
    <w:p>
      <w:pPr>
        <w:pStyle w:val="52"/>
        <w:ind w:firstLine="709"/>
        <w:jc w:val="both"/>
      </w:pPr>
      <w:r>
        <w:rPr>
          <w:color w:val="auto"/>
        </w:rPr>
        <w:t>Социальные последствия реализации муниципальной Программы заключаются в сохранении здоровья людей, что в свою очередь предотвратит и экономические потери. Реализация программы позволит сократить ущерб населению района и природной среде за счет соблюдения установленных норм хозяйственной деятельности в зонах санитарной охраны питьевых водозаборов; улучшения технического состояния водозаборных сооружений, систем водоснабжения и водоотведения.</w:t>
      </w:r>
    </w:p>
    <w:p>
      <w:pPr>
        <w:pStyle w:val="52"/>
        <w:ind w:firstLine="709"/>
        <w:jc w:val="both"/>
      </w:pPr>
      <w:r>
        <w:rPr>
          <w:color w:val="auto"/>
        </w:rPr>
        <w:t xml:space="preserve">Положительный эффект муниципальной Программы заключается в обеспечении нормативного качества жилищно-коммунальных услуг и нормативной надежности систем коммунальной инфраструктуры, повышение энергоэффективности систем коммунальной инфраструктуры и жилищного фонда, оптимизация затрат на производство коммунальных ресурсов и затрат по эксплуатации жилищного фонда. </w:t>
      </w:r>
    </w:p>
    <w:p>
      <w:pPr>
        <w:ind w:firstLine="540"/>
        <w:jc w:val="both"/>
      </w:pPr>
      <w:r>
        <w:t>Эффективность реализации муниципальной программы определяется по ее окончании степенью достижения значений индикаторов и непосредственных результатов муниципальной программы.</w:t>
      </w:r>
    </w:p>
    <w:p>
      <w:pPr>
        <w:ind w:firstLine="540"/>
        <w:jc w:val="center"/>
        <w:sectPr>
          <w:headerReference r:id="rId8" w:type="first"/>
          <w:footerReference r:id="rId11" w:type="first"/>
          <w:headerReference r:id="rId6" w:type="default"/>
          <w:footerReference r:id="rId9" w:type="default"/>
          <w:headerReference r:id="rId7" w:type="even"/>
          <w:footerReference r:id="rId10" w:type="even"/>
          <w:pgSz w:w="11906" w:h="16838"/>
          <w:pgMar w:top="1134" w:right="850" w:bottom="1134" w:left="1701" w:header="284" w:footer="284" w:gutter="0"/>
          <w:pgNumType w:start="1"/>
          <w:cols w:space="720" w:num="1"/>
          <w:titlePg/>
          <w:docGrid w:linePitch="360" w:charSpace="0"/>
        </w:sectPr>
      </w:pPr>
      <w:r>
        <w:t>_____________________</w:t>
      </w:r>
    </w:p>
    <w:p>
      <w:pPr>
        <w:pStyle w:val="52"/>
        <w:ind w:left="3969"/>
        <w:jc w:val="center"/>
      </w:pPr>
      <w:r>
        <w:rPr>
          <w:color w:val="auto"/>
        </w:rPr>
        <w:t>Приложение 1</w:t>
      </w:r>
    </w:p>
    <w:p>
      <w:pPr>
        <w:pStyle w:val="52"/>
        <w:ind w:left="3969"/>
        <w:jc w:val="center"/>
      </w:pPr>
      <w:r>
        <w:rPr>
          <w:color w:val="auto"/>
        </w:rPr>
        <w:t>к муниципальной программе</w:t>
      </w:r>
    </w:p>
    <w:p>
      <w:pPr>
        <w:pStyle w:val="52"/>
        <w:ind w:left="3969"/>
        <w:jc w:val="center"/>
      </w:pPr>
      <w:r>
        <w:rPr>
          <w:color w:val="auto"/>
        </w:rPr>
        <w:t>«Обеспечение населения Богородского муниципального  округа</w:t>
      </w:r>
    </w:p>
    <w:p>
      <w:pPr>
        <w:pStyle w:val="52"/>
        <w:ind w:left="3969"/>
        <w:jc w:val="center"/>
      </w:pPr>
      <w:r>
        <w:rPr>
          <w:color w:val="auto"/>
        </w:rPr>
        <w:t>Нижегородской области качественными услугами</w:t>
      </w:r>
    </w:p>
    <w:p>
      <w:pPr>
        <w:pStyle w:val="52"/>
        <w:ind w:left="3969"/>
        <w:jc w:val="center"/>
      </w:pPr>
      <w:r>
        <w:rPr>
          <w:color w:val="auto"/>
        </w:rPr>
        <w:t>в сфере жилищно-коммунального хозяйства».</w:t>
      </w:r>
    </w:p>
    <w:p>
      <w:pPr>
        <w:pStyle w:val="52"/>
        <w:ind w:firstLine="720"/>
        <w:jc w:val="right"/>
        <w:rPr>
          <w:color w:val="auto"/>
        </w:rPr>
      </w:pPr>
    </w:p>
    <w:p>
      <w:pPr>
        <w:pStyle w:val="52"/>
        <w:ind w:firstLine="720"/>
        <w:jc w:val="center"/>
      </w:pPr>
      <w:r>
        <w:rPr>
          <w:b/>
          <w:bCs/>
          <w:color w:val="auto"/>
        </w:rPr>
        <w:t>Перечень основных мероприятий муниципальной Программы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bl>
      <w:tblPr>
        <w:tblStyle w:val="4"/>
        <w:tblW w:w="10400" w:type="dxa"/>
        <w:tblInd w:w="-511" w:type="dxa"/>
        <w:tblLayout w:type="fixed"/>
        <w:tblCellMar>
          <w:top w:w="0" w:type="dxa"/>
          <w:left w:w="28" w:type="dxa"/>
          <w:bottom w:w="0" w:type="dxa"/>
          <w:right w:w="28" w:type="dxa"/>
        </w:tblCellMar>
      </w:tblPr>
      <w:tblGrid>
        <w:gridCol w:w="1623"/>
        <w:gridCol w:w="851"/>
        <w:gridCol w:w="693"/>
        <w:gridCol w:w="7"/>
        <w:gridCol w:w="23"/>
        <w:gridCol w:w="438"/>
        <w:gridCol w:w="965"/>
        <w:gridCol w:w="699"/>
        <w:gridCol w:w="699"/>
        <w:gridCol w:w="699"/>
        <w:gridCol w:w="699"/>
        <w:gridCol w:w="771"/>
        <w:gridCol w:w="627"/>
        <w:gridCol w:w="699"/>
        <w:gridCol w:w="907"/>
      </w:tblGrid>
      <w:tr>
        <w:tblPrEx>
          <w:tblCellMar>
            <w:top w:w="0" w:type="dxa"/>
            <w:left w:w="28" w:type="dxa"/>
            <w:bottom w:w="0" w:type="dxa"/>
            <w:right w:w="28" w:type="dxa"/>
          </w:tblCellMar>
        </w:tblPrEx>
        <w:trPr>
          <w:wBefore w:w="0" w:type="dxa"/>
          <w:wAfter w:w="0" w:type="dxa"/>
          <w:cantSplit/>
          <w:trHeight w:val="390" w:hRule="atLeast"/>
          <w:tblHeader/>
        </w:trPr>
        <w:tc>
          <w:tcPr>
            <w:tcW w:w="1623" w:type="dxa"/>
            <w:vMerge w:val="restart"/>
            <w:tcBorders>
              <w:top w:val="single" w:color="000000" w:sz="4" w:space="0"/>
              <w:left w:val="single" w:color="000000" w:sz="4" w:space="0"/>
              <w:bottom w:val="single" w:color="000000" w:sz="4" w:space="0"/>
            </w:tcBorders>
            <w:shd w:val="clear" w:color="auto" w:fill="auto"/>
            <w:noWrap w:val="0"/>
            <w:vAlign w:val="top"/>
          </w:tcPr>
          <w:p>
            <w:pPr>
              <w:pStyle w:val="52"/>
              <w:ind w:hanging="76"/>
              <w:jc w:val="center"/>
            </w:pPr>
            <w:r>
              <w:rPr>
                <w:b/>
                <w:bCs/>
                <w:color w:val="auto"/>
                <w:sz w:val="20"/>
                <w:szCs w:val="20"/>
              </w:rPr>
              <w:t xml:space="preserve"> </w:t>
            </w:r>
          </w:p>
          <w:p>
            <w:pPr>
              <w:pStyle w:val="52"/>
              <w:jc w:val="center"/>
            </w:pPr>
            <w:r>
              <w:rPr>
                <w:b/>
                <w:bCs/>
                <w:color w:val="auto"/>
                <w:sz w:val="20"/>
                <w:szCs w:val="20"/>
              </w:rPr>
              <w:t xml:space="preserve">Наименование основного  мероприятия </w:t>
            </w:r>
          </w:p>
        </w:tc>
        <w:tc>
          <w:tcPr>
            <w:tcW w:w="1551" w:type="dxa"/>
            <w:gridSpan w:val="3"/>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Категория расходов (капвложения, НИОК, прочие расходы)</w:t>
            </w:r>
          </w:p>
        </w:tc>
        <w:tc>
          <w:tcPr>
            <w:tcW w:w="461"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Сроки исполнения</w:t>
            </w:r>
          </w:p>
        </w:tc>
        <w:tc>
          <w:tcPr>
            <w:tcW w:w="965"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 xml:space="preserve">Исполнители мероприятий </w:t>
            </w:r>
          </w:p>
        </w:tc>
        <w:tc>
          <w:tcPr>
            <w:tcW w:w="580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20"/>
                <w:szCs w:val="20"/>
              </w:rPr>
              <w:t>Объем финансирования (по годам) за счет средств  местного бюджета  ,тыс. руб.</w:t>
            </w:r>
          </w:p>
        </w:tc>
      </w:tr>
      <w:tr>
        <w:tblPrEx>
          <w:tblCellMar>
            <w:top w:w="0" w:type="dxa"/>
            <w:left w:w="28" w:type="dxa"/>
            <w:bottom w:w="0" w:type="dxa"/>
            <w:right w:w="28" w:type="dxa"/>
          </w:tblCellMar>
        </w:tblPrEx>
        <w:trPr>
          <w:wBefore w:w="0" w:type="dxa"/>
          <w:wAfter w:w="0" w:type="dxa"/>
          <w:cantSplit/>
          <w:trHeight w:val="23" w:hRule="atLeast"/>
          <w:tblHeader/>
        </w:trPr>
        <w:tc>
          <w:tcPr>
            <w:tcW w:w="1623"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0"/>
                <w:szCs w:val="20"/>
              </w:rPr>
            </w:pPr>
          </w:p>
        </w:tc>
        <w:tc>
          <w:tcPr>
            <w:tcW w:w="1551" w:type="dxa"/>
            <w:gridSpan w:val="3"/>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0"/>
                <w:szCs w:val="20"/>
              </w:rPr>
            </w:pPr>
          </w:p>
        </w:tc>
        <w:tc>
          <w:tcPr>
            <w:tcW w:w="461"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0"/>
                <w:szCs w:val="20"/>
              </w:rPr>
            </w:pPr>
          </w:p>
        </w:tc>
        <w:tc>
          <w:tcPr>
            <w:tcW w:w="965"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2022</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2023</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2024</w:t>
            </w: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 xml:space="preserve">2025 </w:t>
            </w: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2026</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2027</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20"/>
                <w:szCs w:val="20"/>
              </w:rPr>
              <w:t xml:space="preserve">Всего </w:t>
            </w:r>
          </w:p>
        </w:tc>
      </w:tr>
      <w:tr>
        <w:tblPrEx>
          <w:tblCellMar>
            <w:top w:w="0" w:type="dxa"/>
            <w:left w:w="28" w:type="dxa"/>
            <w:bottom w:w="0" w:type="dxa"/>
            <w:right w:w="28" w:type="dxa"/>
          </w:tblCellMar>
        </w:tblPrEx>
        <w:trPr>
          <w:wBefore w:w="0" w:type="dxa"/>
          <w:wAfter w:w="0" w:type="dxa"/>
          <w:cantSplit/>
          <w:trHeight w:val="23" w:hRule="atLeast"/>
        </w:trPr>
        <w:tc>
          <w:tcPr>
            <w:tcW w:w="4600" w:type="dxa"/>
            <w:gridSpan w:val="7"/>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 xml:space="preserve">Цель муниципальной программы: создание комфортной среды проживания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23942,76</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11189,01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3025,71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38157,48</w:t>
            </w:r>
          </w:p>
        </w:tc>
      </w:tr>
      <w:tr>
        <w:tblPrEx>
          <w:tblCellMar>
            <w:top w:w="0" w:type="dxa"/>
            <w:left w:w="28" w:type="dxa"/>
            <w:bottom w:w="0" w:type="dxa"/>
            <w:right w:w="28" w:type="dxa"/>
          </w:tblCellMar>
        </w:tblPrEx>
        <w:trPr>
          <w:wBefore w:w="0" w:type="dxa"/>
          <w:wAfter w:w="0" w:type="dxa"/>
          <w:cantSplit/>
          <w:trHeight w:val="23" w:hRule="atLeast"/>
        </w:trPr>
        <w:tc>
          <w:tcPr>
            <w:tcW w:w="4600" w:type="dxa"/>
            <w:gridSpan w:val="7"/>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Подпрограмма 1 «Развитие коммунальной инфраструктуры  в Богородском муниципальном округе Нижегородской области»</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18652,28</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18652,28</w:t>
            </w:r>
          </w:p>
        </w:tc>
      </w:tr>
      <w:tr>
        <w:tblPrEx>
          <w:tblCellMar>
            <w:top w:w="0" w:type="dxa"/>
            <w:left w:w="28" w:type="dxa"/>
            <w:bottom w:w="0" w:type="dxa"/>
            <w:right w:w="28" w:type="dxa"/>
          </w:tblCellMar>
        </w:tblPrEx>
        <w:trPr>
          <w:wBefore w:w="0" w:type="dxa"/>
          <w:wAfter w:w="0" w:type="dxa"/>
          <w:cantSplit/>
          <w:trHeight w:val="23" w:hRule="atLeast"/>
        </w:trPr>
        <w:tc>
          <w:tcPr>
            <w:tcW w:w="1623" w:type="dxa"/>
            <w:vMerge w:val="restart"/>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1 «Строительство, капитальный ремонт, ремонт и реконструкция объектов водоснабжения»</w:t>
            </w:r>
          </w:p>
        </w:tc>
        <w:tc>
          <w:tcPr>
            <w:tcW w:w="851"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Кап. вложения</w:t>
            </w: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ind w:hanging="28"/>
              <w:jc w:val="center"/>
            </w:pPr>
            <w:r>
              <w:rPr>
                <w:color w:val="auto"/>
                <w:sz w:val="22"/>
                <w:szCs w:val="22"/>
              </w:rPr>
              <w:t>МКУ «УКС Богородского муниципального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14152,28</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14152,28</w:t>
            </w:r>
          </w:p>
        </w:tc>
      </w:tr>
      <w:tr>
        <w:tblPrEx>
          <w:tblCellMar>
            <w:top w:w="0" w:type="dxa"/>
            <w:left w:w="28" w:type="dxa"/>
            <w:bottom w:w="0" w:type="dxa"/>
            <w:right w:w="28" w:type="dxa"/>
          </w:tblCellMar>
        </w:tblPrEx>
        <w:trPr>
          <w:wBefore w:w="0" w:type="dxa"/>
          <w:wAfter w:w="0" w:type="dxa"/>
          <w:cantSplit/>
          <w:trHeight w:val="23" w:hRule="atLeast"/>
        </w:trPr>
        <w:tc>
          <w:tcPr>
            <w:tcW w:w="1623"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color w:val="auto"/>
                <w:sz w:val="22"/>
                <w:szCs w:val="22"/>
              </w:rPr>
            </w:pPr>
          </w:p>
        </w:tc>
        <w:tc>
          <w:tcPr>
            <w:tcW w:w="851"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Комитет по имуществу администрации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1623" w:type="dxa"/>
            <w:vMerge w:val="restart"/>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2 «Строительство, капитальный ремонт, ремонт и реконструкция объектов водоотведения»</w:t>
            </w:r>
          </w:p>
        </w:tc>
        <w:tc>
          <w:tcPr>
            <w:tcW w:w="851"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Кап. вложения</w:t>
            </w:r>
          </w:p>
        </w:tc>
        <w:tc>
          <w:tcPr>
            <w:tcW w:w="693"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ind w:hanging="28"/>
              <w:jc w:val="center"/>
            </w:pPr>
            <w:r>
              <w:rPr>
                <w:color w:val="auto"/>
                <w:sz w:val="22"/>
                <w:szCs w:val="22"/>
              </w:rPr>
              <w:t>МКУ «УКС Богородского муниципального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4500,0</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4500,0</w:t>
            </w:r>
          </w:p>
        </w:tc>
      </w:tr>
      <w:tr>
        <w:tblPrEx>
          <w:tblCellMar>
            <w:top w:w="0" w:type="dxa"/>
            <w:left w:w="28" w:type="dxa"/>
            <w:bottom w:w="0" w:type="dxa"/>
            <w:right w:w="28" w:type="dxa"/>
          </w:tblCellMar>
        </w:tblPrEx>
        <w:trPr>
          <w:wBefore w:w="0" w:type="dxa"/>
          <w:wAfter w:w="0" w:type="dxa"/>
          <w:cantSplit/>
          <w:trHeight w:val="23" w:hRule="atLeast"/>
        </w:trPr>
        <w:tc>
          <w:tcPr>
            <w:tcW w:w="1623"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color w:val="auto"/>
                <w:sz w:val="22"/>
                <w:szCs w:val="22"/>
              </w:rPr>
            </w:pPr>
          </w:p>
        </w:tc>
        <w:tc>
          <w:tcPr>
            <w:tcW w:w="851"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693"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Комитет по имуществу администрации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1623" w:type="dxa"/>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3»Капитальный ремонт, реконструкция объектов теплоснабжения»</w:t>
            </w:r>
          </w:p>
        </w:tc>
        <w:tc>
          <w:tcPr>
            <w:tcW w:w="851"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Кап. вложения</w:t>
            </w: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ind w:hanging="28"/>
              <w:jc w:val="center"/>
            </w:pPr>
            <w:r>
              <w:rPr>
                <w:color w:val="auto"/>
                <w:sz w:val="22"/>
                <w:szCs w:val="22"/>
              </w:rPr>
              <w:t>Комитет по имуществу администрации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1623" w:type="dxa"/>
            <w:tcBorders>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4 «Ремонт  и восстановление не не централизованных источников водоснабжения»</w:t>
            </w:r>
          </w:p>
        </w:tc>
        <w:tc>
          <w:tcPr>
            <w:tcW w:w="851" w:type="dxa"/>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Кап. вложения</w:t>
            </w:r>
          </w:p>
        </w:tc>
        <w:tc>
          <w:tcPr>
            <w:tcW w:w="693" w:type="dxa"/>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left w:val="single" w:color="000000" w:sz="4" w:space="0"/>
              <w:bottom w:val="single" w:color="000000" w:sz="4" w:space="0"/>
            </w:tcBorders>
            <w:shd w:val="clear" w:color="auto" w:fill="auto"/>
            <w:noWrap w:val="0"/>
            <w:vAlign w:val="top"/>
          </w:tcPr>
          <w:p>
            <w:pPr>
              <w:pStyle w:val="52"/>
              <w:ind w:hanging="28"/>
              <w:jc w:val="center"/>
            </w:pPr>
            <w:r>
              <w:rPr>
                <w:color w:val="auto"/>
                <w:sz w:val="22"/>
                <w:szCs w:val="22"/>
              </w:rPr>
              <w:t>МКУ «УКС Богородского муниципального округа»</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p>
        </w:tc>
        <w:tc>
          <w:tcPr>
            <w:tcW w:w="699"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4600" w:type="dxa"/>
            <w:gridSpan w:val="7"/>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Подпрограмма 2 «Капитальный ремонт общего имущества  в многоквартирных домах «</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sz w:val="20"/>
                <w:szCs w:val="20"/>
              </w:rPr>
              <w:t>8597,13</w:t>
            </w:r>
          </w:p>
        </w:tc>
      </w:tr>
      <w:tr>
        <w:tblPrEx>
          <w:tblCellMar>
            <w:top w:w="0" w:type="dxa"/>
            <w:left w:w="28" w:type="dxa"/>
            <w:bottom w:w="0" w:type="dxa"/>
            <w:right w:w="28" w:type="dxa"/>
          </w:tblCellMar>
        </w:tblPrEx>
        <w:trPr>
          <w:wBefore w:w="0" w:type="dxa"/>
          <w:wAfter w:w="0" w:type="dxa"/>
          <w:cantSplit/>
          <w:trHeight w:val="23" w:hRule="atLeast"/>
        </w:trPr>
        <w:tc>
          <w:tcPr>
            <w:tcW w:w="1623" w:type="dxa"/>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1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w:t>
            </w:r>
          </w:p>
        </w:tc>
        <w:tc>
          <w:tcPr>
            <w:tcW w:w="851"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Прочие расходы</w:t>
            </w: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Комитет по имуществу администрации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sz w:val="20"/>
                <w:szCs w:val="20"/>
              </w:rPr>
              <w:t>2865,71</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sz w:val="20"/>
                <w:szCs w:val="20"/>
              </w:rPr>
              <w:t>8597,13</w:t>
            </w:r>
          </w:p>
        </w:tc>
      </w:tr>
      <w:tr>
        <w:tblPrEx>
          <w:tblCellMar>
            <w:top w:w="0" w:type="dxa"/>
            <w:left w:w="28" w:type="dxa"/>
            <w:bottom w:w="0" w:type="dxa"/>
            <w:right w:w="28" w:type="dxa"/>
          </w:tblCellMar>
        </w:tblPrEx>
        <w:trPr>
          <w:wBefore w:w="0" w:type="dxa"/>
          <w:wAfter w:w="0" w:type="dxa"/>
          <w:cantSplit/>
          <w:trHeight w:val="23" w:hRule="atLeast"/>
        </w:trPr>
        <w:tc>
          <w:tcPr>
            <w:tcW w:w="4600" w:type="dxa"/>
            <w:gridSpan w:val="7"/>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Подпрограмма 3 «Экология»</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2424,77</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8323,3</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160,0</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10908,07</w:t>
            </w:r>
          </w:p>
        </w:tc>
      </w:tr>
      <w:tr>
        <w:tblPrEx>
          <w:tblCellMar>
            <w:top w:w="0" w:type="dxa"/>
            <w:left w:w="28" w:type="dxa"/>
            <w:bottom w:w="0" w:type="dxa"/>
            <w:right w:w="28" w:type="dxa"/>
          </w:tblCellMar>
        </w:tblPrEx>
        <w:trPr>
          <w:wBefore w:w="0" w:type="dxa"/>
          <w:wAfter w:w="0" w:type="dxa"/>
          <w:cantSplit/>
          <w:trHeight w:val="23" w:hRule="atLeast"/>
        </w:trPr>
        <w:tc>
          <w:tcPr>
            <w:tcW w:w="1623" w:type="dxa"/>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 «Ликвидация свалок и объектов размещения отходов»</w:t>
            </w:r>
            <w:r>
              <w:rPr>
                <w:color w:val="auto"/>
              </w:rPr>
              <w:t xml:space="preserve"> </w:t>
            </w:r>
          </w:p>
        </w:tc>
        <w:tc>
          <w:tcPr>
            <w:tcW w:w="851"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Капитальные вложения</w:t>
            </w:r>
          </w:p>
          <w:p>
            <w:pPr>
              <w:pStyle w:val="52"/>
              <w:jc w:val="center"/>
            </w:pPr>
            <w:r>
              <w:rPr>
                <w:color w:val="auto"/>
                <w:sz w:val="22"/>
                <w:szCs w:val="22"/>
              </w:rPr>
              <w:t>Прочие расходы</w:t>
            </w: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ind w:hanging="28"/>
              <w:jc w:val="center"/>
            </w:pPr>
            <w:r>
              <w:rPr>
                <w:color w:val="auto"/>
                <w:sz w:val="22"/>
                <w:szCs w:val="22"/>
              </w:rPr>
              <w:t>МКУ «УКС Богородского муниципального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1623" w:type="dxa"/>
            <w:tcBorders>
              <w:top w:val="single" w:color="000000" w:sz="4" w:space="0"/>
              <w:left w:val="single" w:color="000000" w:sz="4" w:space="0"/>
              <w:bottom w:val="single" w:color="000000" w:sz="4" w:space="0"/>
            </w:tcBorders>
            <w:shd w:val="clear" w:color="auto" w:fill="auto"/>
            <w:noWrap w:val="0"/>
            <w:vAlign w:val="top"/>
          </w:tcPr>
          <w:p>
            <w:pPr>
              <w:pStyle w:val="52"/>
            </w:pPr>
            <w:r>
              <w:rPr>
                <w:color w:val="auto"/>
              </w:rPr>
              <w:t xml:space="preserve"> </w:t>
            </w:r>
            <w:r>
              <w:rPr>
                <w:color w:val="auto"/>
                <w:sz w:val="22"/>
                <w:szCs w:val="22"/>
              </w:rPr>
              <w:t xml:space="preserve">Федеральный проект «Чистая страна». </w:t>
            </w:r>
          </w:p>
        </w:tc>
        <w:tc>
          <w:tcPr>
            <w:tcW w:w="851"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Прочие расходы</w:t>
            </w:r>
          </w:p>
        </w:tc>
        <w:tc>
          <w:tcPr>
            <w:tcW w:w="69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top w:val="single" w:color="000000" w:sz="4" w:space="0"/>
              <w:left w:val="single" w:color="000000" w:sz="4" w:space="0"/>
              <w:bottom w:val="single" w:color="000000" w:sz="4" w:space="0"/>
            </w:tcBorders>
            <w:shd w:val="clear" w:color="auto" w:fill="auto"/>
            <w:noWrap w:val="0"/>
            <w:vAlign w:val="top"/>
          </w:tcPr>
          <w:p>
            <w:pPr>
              <w:pStyle w:val="52"/>
              <w:snapToGrid w:val="0"/>
              <w:ind w:hanging="28"/>
              <w:jc w:val="center"/>
            </w:pPr>
            <w:r>
              <w:rPr>
                <w:color w:val="auto"/>
                <w:sz w:val="22"/>
                <w:szCs w:val="22"/>
              </w:rPr>
              <w:t>МКУ «УКС Богородского муниципального округа»</w:t>
            </w: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0"/>
                <w:szCs w:val="20"/>
              </w:rPr>
            </w:pPr>
          </w:p>
        </w:tc>
      </w:tr>
      <w:tr>
        <w:tblPrEx>
          <w:tblCellMar>
            <w:top w:w="0" w:type="dxa"/>
            <w:left w:w="28" w:type="dxa"/>
            <w:bottom w:w="0" w:type="dxa"/>
            <w:right w:w="28" w:type="dxa"/>
          </w:tblCellMar>
        </w:tblPrEx>
        <w:trPr>
          <w:wBefore w:w="0" w:type="dxa"/>
          <w:wAfter w:w="0" w:type="dxa"/>
          <w:cantSplit/>
          <w:trHeight w:val="23" w:hRule="atLeast"/>
        </w:trPr>
        <w:tc>
          <w:tcPr>
            <w:tcW w:w="1623" w:type="dxa"/>
            <w:tcBorders>
              <w:left w:val="single" w:color="000000" w:sz="4" w:space="0"/>
              <w:bottom w:val="single" w:color="000000" w:sz="4" w:space="0"/>
            </w:tcBorders>
            <w:shd w:val="clear" w:color="auto" w:fill="auto"/>
            <w:noWrap w:val="0"/>
            <w:vAlign w:val="top"/>
          </w:tcPr>
          <w:p>
            <w:pPr>
              <w:pStyle w:val="52"/>
            </w:pPr>
            <w:r>
              <w:rPr>
                <w:color w:val="auto"/>
              </w:rPr>
              <w:t xml:space="preserve"> </w:t>
            </w:r>
            <w:r>
              <w:rPr>
                <w:color w:val="auto"/>
                <w:sz w:val="22"/>
                <w:szCs w:val="22"/>
              </w:rPr>
              <w:t xml:space="preserve">Федеральный проект «Оздоровление Волги». </w:t>
            </w:r>
          </w:p>
        </w:tc>
        <w:tc>
          <w:tcPr>
            <w:tcW w:w="851" w:type="dxa"/>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Капитальные вложения</w:t>
            </w:r>
          </w:p>
        </w:tc>
        <w:tc>
          <w:tcPr>
            <w:tcW w:w="693" w:type="dxa"/>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33" w:type="dxa"/>
            <w:gridSpan w:val="4"/>
            <w:tcBorders>
              <w:left w:val="single" w:color="000000" w:sz="4" w:space="0"/>
              <w:bottom w:val="single" w:color="000000" w:sz="4" w:space="0"/>
            </w:tcBorders>
            <w:shd w:val="clear" w:color="auto" w:fill="auto"/>
            <w:noWrap w:val="0"/>
            <w:vAlign w:val="top"/>
          </w:tcPr>
          <w:p>
            <w:pPr>
              <w:pStyle w:val="52"/>
              <w:snapToGrid w:val="0"/>
              <w:ind w:hanging="28"/>
              <w:jc w:val="center"/>
            </w:pPr>
            <w:r>
              <w:rPr>
                <w:color w:val="auto"/>
                <w:sz w:val="22"/>
                <w:szCs w:val="22"/>
              </w:rPr>
              <w:t>МКУ «УКС Богородского муниципального округа»</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2424,77</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8323,3</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160,0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771"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27"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699" w:type="dxa"/>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907"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10908,07</w:t>
            </w:r>
          </w:p>
        </w:tc>
      </w:tr>
      <w:tr>
        <w:tblPrEx>
          <w:tblCellMar>
            <w:top w:w="0" w:type="dxa"/>
            <w:left w:w="28" w:type="dxa"/>
            <w:bottom w:w="0" w:type="dxa"/>
            <w:right w:w="28" w:type="dxa"/>
          </w:tblCellMar>
        </w:tblPrEx>
        <w:trPr>
          <w:wBefore w:w="0" w:type="dxa"/>
          <w:wAfter w:w="0" w:type="dxa"/>
          <w:cantSplit/>
          <w:trHeight w:val="23" w:hRule="atLeast"/>
        </w:trPr>
        <w:tc>
          <w:tcPr>
            <w:tcW w:w="4600" w:type="dxa"/>
            <w:gridSpan w:val="7"/>
            <w:tcBorders>
              <w:left w:val="single" w:color="000000" w:sz="4" w:space="0"/>
              <w:bottom w:val="single" w:color="000000" w:sz="4" w:space="0"/>
            </w:tcBorders>
            <w:shd w:val="clear" w:color="auto" w:fill="auto"/>
            <w:noWrap w:val="0"/>
            <w:vAlign w:val="top"/>
          </w:tcPr>
          <w:p>
            <w:pPr>
              <w:pStyle w:val="52"/>
            </w:pPr>
            <w:r>
              <w:rPr>
                <w:color w:val="auto"/>
                <w:sz w:val="22"/>
                <w:szCs w:val="22"/>
              </w:rPr>
              <w:t>Подпрограмма 4 «Обеспечение реализации муниципальной программ»</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771"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27"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907"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0</w:t>
            </w:r>
          </w:p>
        </w:tc>
      </w:tr>
      <w:tr>
        <w:tblPrEx>
          <w:tblCellMar>
            <w:top w:w="0" w:type="dxa"/>
            <w:left w:w="28" w:type="dxa"/>
            <w:bottom w:w="0" w:type="dxa"/>
            <w:right w:w="28" w:type="dxa"/>
          </w:tblCellMar>
        </w:tblPrEx>
        <w:trPr>
          <w:wBefore w:w="0" w:type="dxa"/>
          <w:wAfter w:w="0" w:type="dxa"/>
          <w:cantSplit/>
          <w:trHeight w:val="1583" w:hRule="atLeast"/>
        </w:trPr>
        <w:tc>
          <w:tcPr>
            <w:tcW w:w="1623" w:type="dxa"/>
            <w:tcBorders>
              <w:left w:val="single" w:color="000000" w:sz="4" w:space="0"/>
              <w:bottom w:val="single" w:color="000000" w:sz="4" w:space="0"/>
            </w:tcBorders>
            <w:shd w:val="clear" w:color="auto" w:fill="auto"/>
            <w:noWrap w:val="0"/>
            <w:vAlign w:val="top"/>
          </w:tcPr>
          <w:p>
            <w:pPr>
              <w:pStyle w:val="52"/>
            </w:pPr>
            <w:r>
              <w:rPr>
                <w:color w:val="auto"/>
                <w:sz w:val="22"/>
                <w:szCs w:val="22"/>
              </w:rPr>
              <w:t>Основное мероприятие1 «Содержание аппарата управления»</w:t>
            </w:r>
          </w:p>
        </w:tc>
        <w:tc>
          <w:tcPr>
            <w:tcW w:w="851" w:type="dxa"/>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Прочие расходы</w:t>
            </w:r>
          </w:p>
        </w:tc>
        <w:tc>
          <w:tcPr>
            <w:tcW w:w="723" w:type="dxa"/>
            <w:gridSpan w:val="3"/>
            <w:tcBorders>
              <w:left w:val="single" w:color="000000" w:sz="4" w:space="0"/>
              <w:bottom w:val="single" w:color="000000" w:sz="4" w:space="0"/>
            </w:tcBorders>
            <w:shd w:val="clear" w:color="auto" w:fill="auto"/>
            <w:noWrap w:val="0"/>
            <w:vAlign w:val="top"/>
          </w:tcPr>
          <w:p>
            <w:pPr>
              <w:pStyle w:val="52"/>
              <w:jc w:val="center"/>
            </w:pPr>
            <w:r>
              <w:rPr>
                <w:color w:val="auto"/>
                <w:sz w:val="22"/>
                <w:szCs w:val="22"/>
              </w:rPr>
              <w:t>2021-2027</w:t>
            </w:r>
          </w:p>
        </w:tc>
        <w:tc>
          <w:tcPr>
            <w:tcW w:w="1403" w:type="dxa"/>
            <w:gridSpan w:val="2"/>
            <w:tcBorders>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Промышленно-экономическое управление и ЖКХ</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771"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27"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69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0</w:t>
            </w:r>
          </w:p>
        </w:tc>
        <w:tc>
          <w:tcPr>
            <w:tcW w:w="907"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20"/>
                <w:szCs w:val="20"/>
              </w:rPr>
              <w:t>0</w:t>
            </w:r>
          </w:p>
        </w:tc>
      </w:tr>
    </w:tbl>
    <w:p>
      <w:pPr>
        <w:ind w:firstLine="720"/>
        <w:jc w:val="center"/>
        <w:sectPr>
          <w:headerReference r:id="rId14" w:type="first"/>
          <w:footerReference r:id="rId17" w:type="first"/>
          <w:headerReference r:id="rId12" w:type="default"/>
          <w:footerReference r:id="rId15" w:type="default"/>
          <w:headerReference r:id="rId13" w:type="even"/>
          <w:footerReference r:id="rId16" w:type="even"/>
          <w:pgSz w:w="11906" w:h="16838"/>
          <w:pgMar w:top="1134" w:right="851" w:bottom="1134" w:left="1701" w:header="284" w:footer="284" w:gutter="0"/>
          <w:pgNumType w:start="1"/>
          <w:cols w:space="720" w:num="1"/>
          <w:titlePg/>
          <w:docGrid w:linePitch="360" w:charSpace="0"/>
        </w:sectPr>
      </w:pPr>
      <w:r>
        <w:t>____________________</w:t>
      </w:r>
    </w:p>
    <w:p>
      <w:pPr>
        <w:pStyle w:val="52"/>
        <w:ind w:left="3969"/>
        <w:jc w:val="center"/>
      </w:pPr>
      <w:r>
        <w:rPr>
          <w:color w:val="auto"/>
        </w:rPr>
        <w:t>Приложение 2</w:t>
      </w:r>
    </w:p>
    <w:p>
      <w:pPr>
        <w:pStyle w:val="52"/>
        <w:ind w:left="3969"/>
        <w:jc w:val="center"/>
      </w:pPr>
      <w:r>
        <w:rPr>
          <w:color w:val="auto"/>
        </w:rPr>
        <w:t>к муниципальной программе</w:t>
      </w:r>
    </w:p>
    <w:p>
      <w:pPr>
        <w:pStyle w:val="52"/>
        <w:ind w:left="3969"/>
        <w:jc w:val="center"/>
      </w:pPr>
      <w:r>
        <w:rPr>
          <w:color w:val="auto"/>
        </w:rPr>
        <w:t>«Обеспечение населения Богородского муниципального  округа</w:t>
      </w:r>
    </w:p>
    <w:p>
      <w:pPr>
        <w:pStyle w:val="52"/>
        <w:ind w:left="3969"/>
        <w:jc w:val="center"/>
      </w:pPr>
      <w:r>
        <w:rPr>
          <w:color w:val="auto"/>
        </w:rPr>
        <w:t>Нижегородской области качественными услугами</w:t>
      </w:r>
    </w:p>
    <w:p>
      <w:pPr>
        <w:pStyle w:val="52"/>
        <w:ind w:left="3969"/>
        <w:jc w:val="center"/>
      </w:pPr>
      <w:r>
        <w:rPr>
          <w:color w:val="auto"/>
        </w:rPr>
        <w:t>в сфере жилищно-коммунального хозяйства»</w:t>
      </w:r>
    </w:p>
    <w:p>
      <w:pPr>
        <w:pStyle w:val="52"/>
        <w:ind w:firstLine="720"/>
        <w:jc w:val="right"/>
        <w:rPr>
          <w:color w:val="auto"/>
        </w:rPr>
      </w:pPr>
    </w:p>
    <w:p>
      <w:pPr>
        <w:pStyle w:val="52"/>
        <w:jc w:val="center"/>
      </w:pPr>
      <w:r>
        <w:rPr>
          <w:b/>
          <w:bCs/>
          <w:color w:val="auto"/>
        </w:rPr>
        <w:t>Сведения об индикаторах и непосредственных результатах  муниципальной Программы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pPr>
        <w:pStyle w:val="52"/>
        <w:jc w:val="right"/>
        <w:rPr>
          <w:color w:val="auto"/>
          <w:highlight w:val="yellow"/>
        </w:rPr>
      </w:pPr>
    </w:p>
    <w:tbl>
      <w:tblPr>
        <w:tblStyle w:val="4"/>
        <w:tblW w:w="0" w:type="auto"/>
        <w:tblInd w:w="28" w:type="dxa"/>
        <w:tblLayout w:type="fixed"/>
        <w:tblCellMar>
          <w:top w:w="0" w:type="dxa"/>
          <w:left w:w="28" w:type="dxa"/>
          <w:bottom w:w="0" w:type="dxa"/>
          <w:right w:w="28" w:type="dxa"/>
        </w:tblCellMar>
      </w:tblPr>
      <w:tblGrid>
        <w:gridCol w:w="709"/>
        <w:gridCol w:w="56"/>
        <w:gridCol w:w="2122"/>
        <w:gridCol w:w="815"/>
        <w:gridCol w:w="706"/>
        <w:gridCol w:w="706"/>
        <w:gridCol w:w="845"/>
        <w:gridCol w:w="846"/>
        <w:gridCol w:w="845"/>
        <w:gridCol w:w="573"/>
        <w:gridCol w:w="1356"/>
      </w:tblGrid>
      <w:tr>
        <w:tblPrEx>
          <w:tblCellMar>
            <w:top w:w="0" w:type="dxa"/>
            <w:left w:w="28" w:type="dxa"/>
            <w:bottom w:w="0" w:type="dxa"/>
            <w:right w:w="28" w:type="dxa"/>
          </w:tblCellMar>
        </w:tblPrEx>
        <w:trPr>
          <w:wBefore w:w="0" w:type="auto"/>
          <w:trHeight w:val="23" w:hRule="atLeast"/>
          <w:tblHeader/>
        </w:trPr>
        <w:tc>
          <w:tcPr>
            <w:tcW w:w="76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 п/п </w:t>
            </w:r>
          </w:p>
        </w:tc>
        <w:tc>
          <w:tcPr>
            <w:tcW w:w="2122"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Наименование индикатора/ непосредственного результата </w:t>
            </w:r>
          </w:p>
        </w:tc>
        <w:tc>
          <w:tcPr>
            <w:tcW w:w="815"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Ед. измерения </w:t>
            </w:r>
          </w:p>
        </w:tc>
        <w:tc>
          <w:tcPr>
            <w:tcW w:w="5877"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22"/>
                <w:szCs w:val="22"/>
              </w:rPr>
              <w:t>Значение индикатора(непосредственного результата )</w:t>
            </w:r>
          </w:p>
        </w:tc>
      </w:tr>
      <w:tr>
        <w:tblPrEx>
          <w:tblCellMar>
            <w:top w:w="0" w:type="dxa"/>
            <w:left w:w="28" w:type="dxa"/>
            <w:bottom w:w="0" w:type="dxa"/>
            <w:right w:w="28" w:type="dxa"/>
          </w:tblCellMar>
        </w:tblPrEx>
        <w:trPr>
          <w:wBefore w:w="0" w:type="auto"/>
          <w:trHeight w:val="23" w:hRule="atLeast"/>
          <w:tblHeader/>
        </w:trPr>
        <w:tc>
          <w:tcPr>
            <w:tcW w:w="76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2"/>
                <w:szCs w:val="22"/>
              </w:rPr>
            </w:pPr>
          </w:p>
        </w:tc>
        <w:tc>
          <w:tcPr>
            <w:tcW w:w="2122"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2"/>
                <w:szCs w:val="22"/>
              </w:rPr>
            </w:pPr>
          </w:p>
        </w:tc>
        <w:tc>
          <w:tcPr>
            <w:tcW w:w="815"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22"/>
                <w:szCs w:val="22"/>
              </w:rPr>
            </w:pP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2021</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2022</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2023</w:t>
            </w: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2024</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 xml:space="preserve">2025 </w:t>
            </w: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0"/>
                <w:szCs w:val="20"/>
              </w:rPr>
              <w:t>2026</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20"/>
                <w:szCs w:val="20"/>
              </w:rPr>
              <w:t>2027</w:t>
            </w:r>
          </w:p>
        </w:tc>
      </w:tr>
      <w:tr>
        <w:tblPrEx>
          <w:tblCellMar>
            <w:top w:w="0" w:type="dxa"/>
            <w:left w:w="28" w:type="dxa"/>
            <w:bottom w:w="0" w:type="dxa"/>
            <w:right w:w="28" w:type="dxa"/>
          </w:tblCellMar>
        </w:tblPrEx>
        <w:trPr>
          <w:wBefore w:w="0" w:type="auto"/>
          <w:trHeight w:val="23" w:hRule="atLeast"/>
          <w:tblHeader/>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1 </w:t>
            </w: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2 </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 xml:space="preserve">3 </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4</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5</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6</w:t>
            </w: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7</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8</w:t>
            </w: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22"/>
                <w:szCs w:val="22"/>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22"/>
                <w:szCs w:val="22"/>
              </w:rPr>
              <w:t>10</w:t>
            </w: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pPr>
            <w:r>
              <w:rPr>
                <w:color w:val="auto"/>
                <w:sz w:val="22"/>
                <w:szCs w:val="22"/>
              </w:rPr>
              <w:t>Подпрограмма 1 «Развитие коммунальной инфраструктуры  в Богородском муниципальном округе Нижегородской области»</w:t>
            </w: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color w:val="auto"/>
                <w:sz w:val="22"/>
                <w:szCs w:val="22"/>
              </w:rPr>
              <w:t>Индикаторы достижения целей и задач подпрограммы</w:t>
            </w: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1</w:t>
            </w: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ind w:firstLine="36"/>
              <w:jc w:val="both"/>
            </w:pPr>
            <w:r>
              <w:rPr>
                <w:color w:val="auto"/>
              </w:rPr>
              <w:t xml:space="preserve"> </w:t>
            </w:r>
            <w:r>
              <w:rPr>
                <w:color w:val="auto"/>
                <w:sz w:val="22"/>
                <w:szCs w:val="22"/>
              </w:rPr>
              <w:t>Доля неочищенных стоков в п. Инютино, за счет строительства локальных очистных сооружений, сократится  на 100%</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100</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rPr>
            </w:pP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color w:val="auto"/>
                <w:sz w:val="22"/>
                <w:szCs w:val="22"/>
              </w:rPr>
              <w:t>Непосредственные результаты реализации подпрограммы</w:t>
            </w: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firstLine="36"/>
              <w:jc w:val="both"/>
            </w:pPr>
            <w:r>
              <w:rPr>
                <w:color w:val="auto"/>
                <w:sz w:val="22"/>
                <w:szCs w:val="22"/>
              </w:rPr>
              <w:t>Локальные очистные сооружения в п. Инютино, производительностью 300 м куб. /сут.</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ед</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1</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highlight w:val="yellow"/>
              </w:rPr>
            </w:pP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pPr>
            <w:r>
              <w:rPr>
                <w:color w:val="auto"/>
                <w:sz w:val="22"/>
                <w:szCs w:val="22"/>
              </w:rPr>
              <w:t>Подпрограмма 2 «Капитальный ремонт общего имущества  в многоквартирных домах»</w:t>
            </w: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color w:val="auto"/>
                <w:sz w:val="22"/>
                <w:szCs w:val="22"/>
              </w:rPr>
              <w:t>Индикаторы достижения целей и задач подпрограммы</w:t>
            </w: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1</w:t>
            </w: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ind w:firstLine="36"/>
              <w:jc w:val="both"/>
            </w:pPr>
            <w:r>
              <w:rPr>
                <w:color w:val="auto"/>
                <w:sz w:val="20"/>
                <w:szCs w:val="20"/>
              </w:rPr>
              <w:t>Площадь муниципальных жилых и нежилых помещений в МКД на территории Богородского муниципального округа включенных в региональную программу капитального ремонта.</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кв.м.</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30504,01</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30504,01</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30504,01</w:t>
            </w: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rPr>
            </w:pP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2</w:t>
            </w: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ind w:firstLine="36"/>
              <w:jc w:val="both"/>
            </w:pPr>
            <w:r>
              <w:rPr>
                <w:color w:val="auto"/>
                <w:sz w:val="20"/>
                <w:szCs w:val="20"/>
              </w:rPr>
              <w:t>Количество МКД, с долей муниципальных жилых и нежилых помещений включенных в краткосрочный план  капитального ремонта</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шт</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9</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37</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rPr>
            </w:pP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color w:val="auto"/>
                <w:sz w:val="22"/>
                <w:szCs w:val="22"/>
              </w:rPr>
              <w:t>Непосредственные результаты реализации подпрограммы</w:t>
            </w: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1</w:t>
            </w:r>
          </w:p>
        </w:tc>
        <w:tc>
          <w:tcPr>
            <w:tcW w:w="2122" w:type="dxa"/>
            <w:tcBorders>
              <w:top w:val="single" w:color="000000" w:sz="4" w:space="0"/>
              <w:left w:val="single" w:color="000000" w:sz="4" w:space="0"/>
              <w:bottom w:val="single" w:color="000000" w:sz="4" w:space="0"/>
            </w:tcBorders>
            <w:shd w:val="clear" w:color="auto" w:fill="auto"/>
            <w:noWrap w:val="0"/>
            <w:vAlign w:val="top"/>
          </w:tcPr>
          <w:p>
            <w:pPr>
              <w:ind w:firstLine="36"/>
              <w:jc w:val="both"/>
            </w:pPr>
            <w:r>
              <w:rPr>
                <w:sz w:val="20"/>
                <w:szCs w:val="20"/>
              </w:rPr>
              <w:t>Количество МКД,с с долей муниципальных жилых и нежилых помещений,в которых выполнены виды работ капитального характера,в рамках краткосрочного плана</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ind w:hanging="12"/>
              <w:jc w:val="center"/>
            </w:pPr>
            <w:r>
              <w:rPr>
                <w:color w:val="auto"/>
                <w:sz w:val="20"/>
                <w:szCs w:val="20"/>
              </w:rPr>
              <w:t>шт.</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ind w:hanging="12"/>
              <w:jc w:val="center"/>
            </w:pPr>
            <w:r>
              <w:rPr>
                <w:color w:val="auto"/>
                <w:sz w:val="20"/>
                <w:szCs w:val="20"/>
              </w:rPr>
              <w:t>9</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ind w:hanging="12"/>
              <w:jc w:val="center"/>
            </w:pPr>
            <w:r>
              <w:rPr>
                <w:color w:val="auto"/>
                <w:sz w:val="20"/>
                <w:szCs w:val="20"/>
              </w:rPr>
              <w:t>37</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ind w:hanging="12"/>
              <w:jc w:val="center"/>
              <w:rPr>
                <w:color w:val="auto"/>
                <w:sz w:val="20"/>
                <w:szCs w:val="20"/>
              </w:rPr>
            </w:pPr>
          </w:p>
        </w:tc>
      </w:tr>
      <w:tr>
        <w:tblPrEx>
          <w:tblCellMar>
            <w:top w:w="0" w:type="dxa"/>
            <w:left w:w="28" w:type="dxa"/>
            <w:bottom w:w="0" w:type="dxa"/>
            <w:right w:w="28" w:type="dxa"/>
          </w:tblCellMar>
        </w:tblPrEx>
        <w:trPr>
          <w:wBefore w:w="0" w:type="auto"/>
          <w:trHeight w:val="23" w:hRule="atLeast"/>
        </w:trPr>
        <w:tc>
          <w:tcPr>
            <w:tcW w:w="76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2</w:t>
            </w:r>
          </w:p>
        </w:tc>
        <w:tc>
          <w:tcPr>
            <w:tcW w:w="2122" w:type="dxa"/>
            <w:tcBorders>
              <w:top w:val="single" w:color="000000" w:sz="4" w:space="0"/>
              <w:left w:val="single" w:color="000000" w:sz="4" w:space="0"/>
              <w:bottom w:val="single" w:color="000000" w:sz="4" w:space="0"/>
            </w:tcBorders>
            <w:shd w:val="clear" w:color="auto" w:fill="auto"/>
            <w:noWrap w:val="0"/>
            <w:vAlign w:val="top"/>
          </w:tcPr>
          <w:p>
            <w:pPr>
              <w:pStyle w:val="52"/>
              <w:ind w:firstLine="36"/>
              <w:jc w:val="both"/>
            </w:pPr>
            <w:r>
              <w:rPr>
                <w:color w:val="auto"/>
                <w:sz w:val="20"/>
                <w:szCs w:val="20"/>
              </w:rPr>
              <w:t>Площадь муниципальных жилых и нежилых помещений в МКД, в которых выполнены виды работ капитального характера, в рамках краткосрочного плана.</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p>
            <w:pPr>
              <w:pStyle w:val="52"/>
              <w:ind w:hanging="12"/>
              <w:jc w:val="center"/>
            </w:pPr>
            <w:r>
              <w:rPr>
                <w:color w:val="auto"/>
                <w:sz w:val="20"/>
                <w:szCs w:val="20"/>
              </w:rPr>
              <w:t>кв.м.</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ind w:hanging="12"/>
              <w:jc w:val="center"/>
            </w:pPr>
            <w:r>
              <w:rPr>
                <w:color w:val="auto"/>
                <w:sz w:val="20"/>
                <w:szCs w:val="20"/>
              </w:rPr>
              <w:t>1001,6</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ind w:hanging="12"/>
              <w:jc w:val="center"/>
            </w:pPr>
            <w:r>
              <w:rPr>
                <w:color w:val="auto"/>
                <w:sz w:val="20"/>
                <w:szCs w:val="20"/>
              </w:rPr>
              <w:t>2963,9</w:t>
            </w: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ind w:hanging="12"/>
              <w:jc w:val="center"/>
              <w:rPr>
                <w:color w:val="auto"/>
                <w:sz w:val="20"/>
                <w:szCs w:val="20"/>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ind w:hanging="12"/>
              <w:jc w:val="center"/>
              <w:rPr>
                <w:color w:val="auto"/>
                <w:sz w:val="20"/>
                <w:szCs w:val="20"/>
              </w:rPr>
            </w:pP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ind w:hanging="12"/>
            </w:pPr>
            <w:r>
              <w:rPr>
                <w:color w:val="auto"/>
                <w:sz w:val="22"/>
                <w:szCs w:val="22"/>
              </w:rPr>
              <w:t>Подпрограмма 3 «Экология»</w:t>
            </w:r>
          </w:p>
        </w:tc>
      </w:tr>
      <w:tr>
        <w:tblPrEx>
          <w:tblCellMar>
            <w:top w:w="0" w:type="dxa"/>
            <w:left w:w="28" w:type="dxa"/>
            <w:bottom w:w="0" w:type="dxa"/>
            <w:right w:w="28" w:type="dxa"/>
          </w:tblCellMar>
        </w:tblPrEx>
        <w:trPr>
          <w:wBefore w:w="0" w:type="auto"/>
          <w:trHeight w:val="329"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ind w:hanging="12"/>
              <w:jc w:val="center"/>
            </w:pPr>
            <w:r>
              <w:rPr>
                <w:color w:val="auto"/>
                <w:sz w:val="22"/>
                <w:szCs w:val="22"/>
              </w:rPr>
              <w:t>Индикаторы достижения целей и задач подпрограммы</w:t>
            </w:r>
          </w:p>
        </w:tc>
      </w:tr>
      <w:tr>
        <w:tblPrEx>
          <w:tblCellMar>
            <w:top w:w="0" w:type="dxa"/>
            <w:left w:w="28" w:type="dxa"/>
            <w:bottom w:w="0" w:type="dxa"/>
            <w:right w:w="28" w:type="dxa"/>
          </w:tblCellMar>
        </w:tblPrEx>
        <w:trPr>
          <w:wBefore w:w="0" w:type="auto"/>
          <w:trHeight w:val="1590" w:hRule="atLeast"/>
        </w:trPr>
        <w:tc>
          <w:tcPr>
            <w:tcW w:w="70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 xml:space="preserve">1. </w:t>
            </w:r>
          </w:p>
        </w:tc>
        <w:tc>
          <w:tcPr>
            <w:tcW w:w="2178" w:type="dxa"/>
            <w:gridSpan w:val="2"/>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Увеличение производительности очистных сооружений, за счет развития централизованных сетей водоотведения.</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40</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highlight w:val="yellow"/>
              </w:rPr>
            </w:pPr>
          </w:p>
        </w:tc>
      </w:tr>
      <w:tr>
        <w:tblPrEx>
          <w:tblCellMar>
            <w:top w:w="0" w:type="dxa"/>
            <w:left w:w="28" w:type="dxa"/>
            <w:bottom w:w="0" w:type="dxa"/>
            <w:right w:w="28" w:type="dxa"/>
          </w:tblCellMar>
        </w:tblPrEx>
        <w:trPr>
          <w:wBefore w:w="0" w:type="auto"/>
          <w:trHeight w:val="23" w:hRule="atLeast"/>
        </w:trPr>
        <w:tc>
          <w:tcPr>
            <w:tcW w:w="9579" w:type="dxa"/>
            <w:gridSpan w:val="11"/>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ind w:hanging="12"/>
              <w:jc w:val="center"/>
            </w:pPr>
            <w:r>
              <w:rPr>
                <w:color w:val="auto"/>
                <w:sz w:val="22"/>
                <w:szCs w:val="22"/>
              </w:rPr>
              <w:t>Непосредственные результаты реализации подпрограммы</w:t>
            </w:r>
          </w:p>
        </w:tc>
      </w:tr>
      <w:tr>
        <w:tblPrEx>
          <w:tblCellMar>
            <w:top w:w="0" w:type="dxa"/>
            <w:left w:w="28" w:type="dxa"/>
            <w:bottom w:w="0" w:type="dxa"/>
            <w:right w:w="28" w:type="dxa"/>
          </w:tblCellMar>
        </w:tblPrEx>
        <w:trPr>
          <w:wBefore w:w="0" w:type="auto"/>
          <w:trHeight w:val="23" w:hRule="atLeast"/>
        </w:trPr>
        <w:tc>
          <w:tcPr>
            <w:tcW w:w="70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2"/>
                <w:szCs w:val="22"/>
              </w:rPr>
              <w:t>1</w:t>
            </w:r>
          </w:p>
        </w:tc>
        <w:tc>
          <w:tcPr>
            <w:tcW w:w="2178" w:type="dxa"/>
            <w:gridSpan w:val="2"/>
            <w:tcBorders>
              <w:top w:val="single" w:color="000000" w:sz="4" w:space="0"/>
              <w:left w:val="single" w:color="000000" w:sz="4" w:space="0"/>
              <w:bottom w:val="single" w:color="000000" w:sz="4" w:space="0"/>
            </w:tcBorders>
            <w:shd w:val="clear" w:color="auto" w:fill="auto"/>
            <w:noWrap w:val="0"/>
            <w:vAlign w:val="top"/>
          </w:tcPr>
          <w:p>
            <w:pPr>
              <w:pStyle w:val="52"/>
            </w:pPr>
            <w:r>
              <w:rPr>
                <w:color w:val="auto"/>
                <w:sz w:val="22"/>
                <w:szCs w:val="22"/>
              </w:rPr>
              <w:t>Производительность очистных сооружений Богородского муниципального округа</w:t>
            </w:r>
          </w:p>
        </w:tc>
        <w:tc>
          <w:tcPr>
            <w:tcW w:w="81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тыс. куб.м/сут</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15</w:t>
            </w:r>
          </w:p>
        </w:tc>
        <w:tc>
          <w:tcPr>
            <w:tcW w:w="70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84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573"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2"/>
                <w:szCs w:val="22"/>
                <w:highlight w:val="yellow"/>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22"/>
                <w:szCs w:val="22"/>
                <w:highlight w:val="yellow"/>
              </w:rPr>
            </w:pPr>
          </w:p>
        </w:tc>
      </w:tr>
    </w:tbl>
    <w:p>
      <w:pPr>
        <w:pStyle w:val="52"/>
        <w:jc w:val="center"/>
        <w:sectPr>
          <w:headerReference r:id="rId20" w:type="first"/>
          <w:footerReference r:id="rId23" w:type="first"/>
          <w:headerReference r:id="rId18" w:type="default"/>
          <w:footerReference r:id="rId21" w:type="default"/>
          <w:headerReference r:id="rId19" w:type="even"/>
          <w:footerReference r:id="rId22" w:type="even"/>
          <w:pgSz w:w="11906" w:h="16838"/>
          <w:pgMar w:top="1134" w:right="851" w:bottom="1134" w:left="1701" w:header="284" w:footer="284" w:gutter="0"/>
          <w:pgNumType w:start="1"/>
          <w:cols w:space="720" w:num="1"/>
          <w:docGrid w:linePitch="360" w:charSpace="0"/>
        </w:sectPr>
      </w:pPr>
      <w:r>
        <w:rPr>
          <w:color w:val="auto"/>
        </w:rPr>
        <w:t>______________________</w:t>
      </w:r>
    </w:p>
    <w:p>
      <w:pPr>
        <w:pStyle w:val="52"/>
        <w:ind w:left="4111"/>
        <w:jc w:val="center"/>
      </w:pPr>
      <w:r>
        <w:rPr>
          <w:color w:val="auto"/>
        </w:rPr>
        <w:t>Приложение 3</w:t>
      </w:r>
    </w:p>
    <w:p>
      <w:pPr>
        <w:pStyle w:val="52"/>
        <w:ind w:left="4111"/>
        <w:jc w:val="center"/>
      </w:pPr>
      <w:r>
        <w:rPr>
          <w:color w:val="auto"/>
        </w:rPr>
        <w:t>к муниципальной программе</w:t>
      </w:r>
    </w:p>
    <w:p>
      <w:pPr>
        <w:pStyle w:val="52"/>
        <w:ind w:left="4111"/>
        <w:jc w:val="center"/>
      </w:pPr>
      <w:r>
        <w:rPr>
          <w:color w:val="auto"/>
        </w:rPr>
        <w:t>«Обеспечение населения Богородского муниципального  округа</w:t>
      </w:r>
    </w:p>
    <w:p>
      <w:pPr>
        <w:pStyle w:val="52"/>
        <w:ind w:left="4111"/>
        <w:jc w:val="center"/>
      </w:pPr>
      <w:r>
        <w:rPr>
          <w:color w:val="auto"/>
        </w:rPr>
        <w:t>Нижегородской области качественными услугами</w:t>
      </w:r>
    </w:p>
    <w:p>
      <w:pPr>
        <w:pStyle w:val="52"/>
        <w:ind w:left="4111"/>
        <w:jc w:val="center"/>
      </w:pPr>
      <w:r>
        <w:rPr>
          <w:color w:val="auto"/>
        </w:rPr>
        <w:t>в сфере жилищно-коммунального хозяйства»</w:t>
      </w:r>
    </w:p>
    <w:p>
      <w:pPr>
        <w:pStyle w:val="52"/>
        <w:ind w:firstLine="720"/>
        <w:jc w:val="both"/>
        <w:rPr>
          <w:color w:val="auto"/>
        </w:rPr>
      </w:pPr>
    </w:p>
    <w:p>
      <w:pPr>
        <w:jc w:val="center"/>
      </w:pPr>
      <w:r>
        <w:rPr>
          <w:b/>
          <w:bCs/>
          <w:sz w:val="26"/>
          <w:szCs w:val="26"/>
        </w:rPr>
        <w:t>Ресурсное обеспечение реализации муниципальной Программы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pPr>
        <w:jc w:val="center"/>
        <w:rPr>
          <w:b/>
          <w:bCs/>
          <w:sz w:val="26"/>
          <w:szCs w:val="26"/>
        </w:rPr>
      </w:pPr>
    </w:p>
    <w:tbl>
      <w:tblPr>
        <w:tblStyle w:val="4"/>
        <w:tblW w:w="0" w:type="auto"/>
        <w:tblInd w:w="55" w:type="dxa"/>
        <w:tblLayout w:type="fixed"/>
        <w:tblCellMar>
          <w:top w:w="55" w:type="dxa"/>
          <w:left w:w="55" w:type="dxa"/>
          <w:bottom w:w="55" w:type="dxa"/>
          <w:right w:w="55" w:type="dxa"/>
        </w:tblCellMar>
      </w:tblPr>
      <w:tblGrid>
        <w:gridCol w:w="850"/>
        <w:gridCol w:w="850"/>
        <w:gridCol w:w="1477"/>
        <w:gridCol w:w="883"/>
        <w:gridCol w:w="774"/>
        <w:gridCol w:w="774"/>
        <w:gridCol w:w="774"/>
        <w:gridCol w:w="774"/>
        <w:gridCol w:w="774"/>
        <w:gridCol w:w="774"/>
        <w:gridCol w:w="905"/>
      </w:tblGrid>
      <w:tr>
        <w:tblPrEx>
          <w:tblCellMar>
            <w:top w:w="55" w:type="dxa"/>
            <w:left w:w="55" w:type="dxa"/>
            <w:bottom w:w="55" w:type="dxa"/>
            <w:right w:w="55" w:type="dxa"/>
          </w:tblCellMar>
        </w:tblPrEx>
        <w:trPr>
          <w:wBefore w:w="0" w:type="auto"/>
          <w:tblHeader/>
        </w:trPr>
        <w:tc>
          <w:tcPr>
            <w:tcW w:w="850" w:type="dxa"/>
            <w:vMerge w:val="restart"/>
            <w:tcBorders>
              <w:top w:val="single" w:color="000000" w:sz="0" w:space="0"/>
              <w:left w:val="single" w:color="000000" w:sz="0" w:space="0"/>
              <w:bottom w:val="single" w:color="000000" w:sz="0" w:space="0"/>
            </w:tcBorders>
            <w:shd w:val="clear" w:color="auto" w:fill="auto"/>
            <w:noWrap w:val="0"/>
            <w:vAlign w:val="top"/>
          </w:tcPr>
          <w:p>
            <w:pPr>
              <w:pStyle w:val="49"/>
              <w:jc w:val="center"/>
            </w:pPr>
            <w:r>
              <w:rPr>
                <w:b/>
                <w:bCs/>
                <w:sz w:val="18"/>
                <w:szCs w:val="18"/>
              </w:rPr>
              <w:t>Статус</w:t>
            </w:r>
          </w:p>
        </w:tc>
        <w:tc>
          <w:tcPr>
            <w:tcW w:w="850" w:type="dxa"/>
            <w:vMerge w:val="restart"/>
            <w:tcBorders>
              <w:top w:val="single" w:color="000000" w:sz="0" w:space="0"/>
              <w:left w:val="single" w:color="000000" w:sz="0" w:space="0"/>
              <w:bottom w:val="single" w:color="000000" w:sz="0" w:space="0"/>
            </w:tcBorders>
            <w:shd w:val="clear" w:color="auto" w:fill="auto"/>
            <w:noWrap w:val="0"/>
            <w:vAlign w:val="top"/>
          </w:tcPr>
          <w:p>
            <w:pPr>
              <w:pStyle w:val="49"/>
              <w:jc w:val="center"/>
            </w:pPr>
            <w:r>
              <w:rPr>
                <w:b/>
                <w:bCs/>
                <w:sz w:val="18"/>
                <w:szCs w:val="18"/>
              </w:rPr>
              <w:t>Подпрограмма муниципальной программы</w:t>
            </w:r>
          </w:p>
        </w:tc>
        <w:tc>
          <w:tcPr>
            <w:tcW w:w="1477" w:type="dxa"/>
            <w:vMerge w:val="restart"/>
            <w:tcBorders>
              <w:top w:val="single" w:color="000000" w:sz="0" w:space="0"/>
              <w:left w:val="single" w:color="000000" w:sz="0" w:space="0"/>
              <w:bottom w:val="single" w:color="000000" w:sz="0" w:space="0"/>
            </w:tcBorders>
            <w:shd w:val="clear" w:color="auto" w:fill="auto"/>
            <w:noWrap w:val="0"/>
            <w:vAlign w:val="top"/>
          </w:tcPr>
          <w:p>
            <w:pPr>
              <w:pStyle w:val="49"/>
              <w:jc w:val="center"/>
            </w:pPr>
            <w:r>
              <w:rPr>
                <w:b/>
                <w:bCs/>
                <w:sz w:val="18"/>
                <w:szCs w:val="18"/>
              </w:rPr>
              <w:t>Заказчик-координатор, соисполнители</w:t>
            </w:r>
          </w:p>
        </w:tc>
        <w:tc>
          <w:tcPr>
            <w:tcW w:w="6432" w:type="dxa"/>
            <w:gridSpan w:val="8"/>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49"/>
              <w:jc w:val="center"/>
            </w:pPr>
            <w:r>
              <w:rPr>
                <w:b/>
                <w:bCs/>
                <w:sz w:val="18"/>
                <w:szCs w:val="18"/>
              </w:rPr>
              <w:t>Расходы(тыс. Руб.)годы</w:t>
            </w:r>
          </w:p>
        </w:tc>
      </w:tr>
      <w:tr>
        <w:tblPrEx>
          <w:tblCellMar>
            <w:top w:w="55" w:type="dxa"/>
            <w:left w:w="55" w:type="dxa"/>
            <w:bottom w:w="55" w:type="dxa"/>
            <w:right w:w="55" w:type="dxa"/>
          </w:tblCellMar>
        </w:tblPrEx>
        <w:trPr>
          <w:wBefore w:w="0" w:type="auto"/>
          <w:tblHeader/>
        </w:trPr>
        <w:tc>
          <w:tcPr>
            <w:tcW w:w="850" w:type="dxa"/>
            <w:vMerge w:val="continue"/>
            <w:tcBorders>
              <w:top w:val="single" w:color="000000" w:sz="0" w:space="0"/>
              <w:left w:val="single" w:color="000000" w:sz="0" w:space="0"/>
              <w:bottom w:val="single" w:color="000000" w:sz="0" w:space="0"/>
            </w:tcBorders>
            <w:shd w:val="clear" w:color="auto" w:fill="auto"/>
            <w:noWrap w:val="0"/>
            <w:vAlign w:val="top"/>
          </w:tcPr>
          <w:p>
            <w:pPr>
              <w:pStyle w:val="49"/>
              <w:snapToGrid w:val="0"/>
              <w:jc w:val="center"/>
              <w:rPr>
                <w:b/>
                <w:bCs/>
                <w:sz w:val="18"/>
                <w:szCs w:val="18"/>
              </w:rPr>
            </w:pPr>
          </w:p>
        </w:tc>
        <w:tc>
          <w:tcPr>
            <w:tcW w:w="850" w:type="dxa"/>
            <w:vMerge w:val="continue"/>
            <w:tcBorders>
              <w:top w:val="single" w:color="000000" w:sz="0" w:space="0"/>
              <w:left w:val="single" w:color="000000" w:sz="0" w:space="0"/>
              <w:bottom w:val="single" w:color="000000" w:sz="0" w:space="0"/>
            </w:tcBorders>
            <w:shd w:val="clear" w:color="auto" w:fill="auto"/>
            <w:noWrap w:val="0"/>
            <w:vAlign w:val="top"/>
          </w:tcPr>
          <w:p>
            <w:pPr>
              <w:pStyle w:val="49"/>
              <w:snapToGrid w:val="0"/>
              <w:jc w:val="center"/>
              <w:rPr>
                <w:b/>
                <w:bCs/>
                <w:sz w:val="18"/>
                <w:szCs w:val="18"/>
              </w:rPr>
            </w:pPr>
          </w:p>
        </w:tc>
        <w:tc>
          <w:tcPr>
            <w:tcW w:w="1477" w:type="dxa"/>
            <w:vMerge w:val="continue"/>
            <w:tcBorders>
              <w:top w:val="single" w:color="000000" w:sz="0" w:space="0"/>
              <w:left w:val="single" w:color="000000" w:sz="0" w:space="0"/>
              <w:bottom w:val="single" w:color="000000" w:sz="0" w:space="0"/>
            </w:tcBorders>
            <w:shd w:val="clear" w:color="auto" w:fill="auto"/>
            <w:noWrap w:val="0"/>
            <w:vAlign w:val="top"/>
          </w:tcPr>
          <w:p>
            <w:pPr>
              <w:pStyle w:val="49"/>
              <w:snapToGrid w:val="0"/>
              <w:jc w:val="center"/>
              <w:rPr>
                <w:b/>
                <w:bCs/>
                <w:sz w:val="18"/>
                <w:szCs w:val="18"/>
              </w:rPr>
            </w:pPr>
          </w:p>
        </w:tc>
        <w:tc>
          <w:tcPr>
            <w:tcW w:w="883"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2021</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2022</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2023</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2024</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2025</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2026</w:t>
            </w:r>
          </w:p>
        </w:tc>
        <w:tc>
          <w:tcPr>
            <w:tcW w:w="774" w:type="dxa"/>
            <w:tcBorders>
              <w:left w:val="single" w:color="000000" w:sz="0" w:space="0"/>
              <w:bottom w:val="single" w:color="000000" w:sz="0" w:space="0"/>
            </w:tcBorders>
            <w:shd w:val="clear" w:color="auto" w:fill="auto"/>
            <w:noWrap w:val="0"/>
            <w:vAlign w:val="top"/>
          </w:tcPr>
          <w:p>
            <w:pPr>
              <w:pStyle w:val="49"/>
              <w:jc w:val="center"/>
            </w:pPr>
            <w:r>
              <w:rPr>
                <w:b/>
                <w:bCs/>
                <w:sz w:val="18"/>
                <w:szCs w:val="18"/>
              </w:rPr>
              <w:t>2027</w:t>
            </w: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jc w:val="center"/>
            </w:pPr>
            <w:r>
              <w:rPr>
                <w:b/>
                <w:bCs/>
                <w:sz w:val="18"/>
                <w:szCs w:val="18"/>
              </w:rPr>
              <w:t>всего</w:t>
            </w:r>
          </w:p>
        </w:tc>
      </w:tr>
      <w:tr>
        <w:tblPrEx>
          <w:tblCellMar>
            <w:top w:w="55" w:type="dxa"/>
            <w:left w:w="55" w:type="dxa"/>
            <w:bottom w:w="55" w:type="dxa"/>
            <w:right w:w="55" w:type="dxa"/>
          </w:tblCellMar>
        </w:tblPrEx>
        <w:trPr>
          <w:wBefore w:w="0" w:type="auto"/>
        </w:trPr>
        <w:tc>
          <w:tcPr>
            <w:tcW w:w="1700" w:type="dxa"/>
            <w:gridSpan w:val="2"/>
            <w:vMerge w:val="restart"/>
            <w:tcBorders>
              <w:left w:val="single" w:color="000000" w:sz="0" w:space="0"/>
              <w:bottom w:val="single" w:color="000000" w:sz="0" w:space="0"/>
            </w:tcBorders>
            <w:shd w:val="clear" w:color="auto" w:fill="auto"/>
            <w:noWrap w:val="0"/>
            <w:vAlign w:val="top"/>
          </w:tcPr>
          <w:p>
            <w:pPr>
              <w:jc w:val="center"/>
            </w:pPr>
            <w:r>
              <w:rPr>
                <w:sz w:val="26"/>
                <w:szCs w:val="26"/>
              </w:rPr>
              <w:t>м</w:t>
            </w:r>
            <w:r>
              <w:rPr>
                <w:sz w:val="18"/>
                <w:szCs w:val="18"/>
              </w:rPr>
              <w:t>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Всего</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23942,76</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11189,01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3025,71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38157,48</w:t>
            </w:r>
          </w:p>
        </w:tc>
      </w:tr>
      <w:tr>
        <w:trPr>
          <w:wBefore w:w="0" w:type="auto"/>
        </w:trPr>
        <w:tc>
          <w:tcPr>
            <w:tcW w:w="1700" w:type="dxa"/>
            <w:gridSpan w:val="2"/>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Заказчик-координатор</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rPr>
                <w:sz w:val="20"/>
                <w:szCs w:val="20"/>
              </w:rPr>
            </w:pPr>
          </w:p>
        </w:tc>
      </w:tr>
      <w:tr>
        <w:tblPrEx>
          <w:tblCellMar>
            <w:top w:w="55" w:type="dxa"/>
            <w:left w:w="55" w:type="dxa"/>
            <w:bottom w:w="55" w:type="dxa"/>
            <w:right w:w="55" w:type="dxa"/>
          </w:tblCellMar>
        </w:tblPrEx>
        <w:trPr>
          <w:wBefore w:w="0" w:type="auto"/>
        </w:trPr>
        <w:tc>
          <w:tcPr>
            <w:tcW w:w="1700" w:type="dxa"/>
            <w:gridSpan w:val="2"/>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52"/>
              <w:jc w:val="center"/>
            </w:pPr>
            <w:r>
              <w:rPr>
                <w:color w:val="auto"/>
                <w:sz w:val="16"/>
                <w:szCs w:val="16"/>
              </w:rPr>
              <w:t>Соисполнители</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23942,76</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11189,01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3025,71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38157,48</w:t>
            </w:r>
          </w:p>
        </w:tc>
      </w:tr>
      <w:tr>
        <w:tblPrEx>
          <w:tblCellMar>
            <w:top w:w="55" w:type="dxa"/>
            <w:left w:w="55" w:type="dxa"/>
            <w:bottom w:w="55" w:type="dxa"/>
            <w:right w:w="55" w:type="dxa"/>
          </w:tblCellMar>
        </w:tblPrEx>
        <w:trPr>
          <w:wBefore w:w="0" w:type="auto"/>
        </w:trPr>
        <w:tc>
          <w:tcPr>
            <w:tcW w:w="850" w:type="dxa"/>
            <w:vMerge w:val="restart"/>
            <w:tcBorders>
              <w:left w:val="single" w:color="000000" w:sz="0" w:space="0"/>
              <w:bottom w:val="single" w:color="000000" w:sz="0" w:space="0"/>
            </w:tcBorders>
            <w:shd w:val="clear" w:color="auto" w:fill="auto"/>
            <w:noWrap w:val="0"/>
            <w:vAlign w:val="top"/>
          </w:tcPr>
          <w:p>
            <w:pPr>
              <w:pStyle w:val="49"/>
              <w:jc w:val="center"/>
            </w:pPr>
            <w:r>
              <w:rPr>
                <w:sz w:val="20"/>
                <w:szCs w:val="20"/>
              </w:rPr>
              <w:t>Подпрограмма 1</w:t>
            </w:r>
          </w:p>
        </w:tc>
        <w:tc>
          <w:tcPr>
            <w:tcW w:w="850" w:type="dxa"/>
            <w:vMerge w:val="restart"/>
            <w:tcBorders>
              <w:left w:val="single" w:color="000000" w:sz="0" w:space="0"/>
              <w:bottom w:val="single" w:color="000000" w:sz="0" w:space="0"/>
            </w:tcBorders>
            <w:shd w:val="clear" w:color="auto" w:fill="auto"/>
            <w:noWrap w:val="0"/>
            <w:vAlign w:val="top"/>
          </w:tcPr>
          <w:p>
            <w:pPr>
              <w:pStyle w:val="52"/>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области»</w:t>
            </w: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Всего</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18652,28</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18652,28</w:t>
            </w:r>
          </w:p>
        </w:tc>
      </w:tr>
      <w:tr>
        <w:tblPrEx>
          <w:tblCellMar>
            <w:top w:w="55" w:type="dxa"/>
            <w:left w:w="55" w:type="dxa"/>
            <w:bottom w:w="55" w:type="dxa"/>
            <w:right w:w="55" w:type="dxa"/>
          </w:tblCellMar>
        </w:tblPrEx>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Заказчик-координатор</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rPr>
                <w:sz w:val="20"/>
                <w:szCs w:val="20"/>
              </w:rPr>
            </w:pPr>
          </w:p>
        </w:tc>
      </w:tr>
      <w:tr>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52"/>
              <w:jc w:val="center"/>
            </w:pPr>
            <w:r>
              <w:rPr>
                <w:color w:val="auto"/>
                <w:sz w:val="16"/>
                <w:szCs w:val="16"/>
              </w:rPr>
              <w:t>Соисполнители</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18652,28</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18652,28</w:t>
            </w:r>
          </w:p>
        </w:tc>
      </w:tr>
      <w:tr>
        <w:tblPrEx>
          <w:tblCellMar>
            <w:top w:w="55" w:type="dxa"/>
            <w:left w:w="55" w:type="dxa"/>
            <w:bottom w:w="55" w:type="dxa"/>
            <w:right w:w="55" w:type="dxa"/>
          </w:tblCellMar>
        </w:tblPrEx>
        <w:trPr>
          <w:wBefore w:w="0" w:type="auto"/>
        </w:trPr>
        <w:tc>
          <w:tcPr>
            <w:tcW w:w="850" w:type="dxa"/>
            <w:vMerge w:val="restart"/>
            <w:tcBorders>
              <w:left w:val="single" w:color="000000" w:sz="0" w:space="0"/>
              <w:bottom w:val="single" w:color="000000" w:sz="0" w:space="0"/>
            </w:tcBorders>
            <w:shd w:val="clear" w:color="auto" w:fill="auto"/>
            <w:noWrap w:val="0"/>
            <w:vAlign w:val="top"/>
          </w:tcPr>
          <w:p>
            <w:pPr>
              <w:pStyle w:val="49"/>
              <w:jc w:val="center"/>
            </w:pPr>
            <w:r>
              <w:rPr>
                <w:sz w:val="20"/>
                <w:szCs w:val="20"/>
              </w:rPr>
              <w:t>Подпрограмма 2</w:t>
            </w:r>
          </w:p>
        </w:tc>
        <w:tc>
          <w:tcPr>
            <w:tcW w:w="850" w:type="dxa"/>
            <w:vMerge w:val="restart"/>
            <w:tcBorders>
              <w:left w:val="single" w:color="000000" w:sz="0" w:space="0"/>
              <w:bottom w:val="single" w:color="000000" w:sz="0" w:space="0"/>
            </w:tcBorders>
            <w:shd w:val="clear" w:color="auto" w:fill="auto"/>
            <w:noWrap w:val="0"/>
            <w:vAlign w:val="top"/>
          </w:tcPr>
          <w:p>
            <w:pPr>
              <w:pStyle w:val="52"/>
              <w:jc w:val="center"/>
            </w:pPr>
            <w:r>
              <w:rPr>
                <w:color w:val="auto"/>
                <w:sz w:val="20"/>
                <w:szCs w:val="20"/>
              </w:rPr>
              <w:t xml:space="preserve">«Капитальный ремонт общего имущества  в многоквартирных домах </w:t>
            </w: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Всего</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8597,13</w:t>
            </w:r>
          </w:p>
        </w:tc>
      </w:tr>
      <w:tr>
        <w:tblPrEx>
          <w:tblCellMar>
            <w:top w:w="55" w:type="dxa"/>
            <w:left w:w="55" w:type="dxa"/>
            <w:bottom w:w="55" w:type="dxa"/>
            <w:right w:w="55" w:type="dxa"/>
          </w:tblCellMar>
        </w:tblPrEx>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Заказчик-координатор</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rPr>
                <w:sz w:val="20"/>
                <w:szCs w:val="20"/>
              </w:rPr>
            </w:pPr>
          </w:p>
        </w:tc>
      </w:tr>
      <w:tr>
        <w:tblPrEx>
          <w:tblCellMar>
            <w:top w:w="55" w:type="dxa"/>
            <w:left w:w="55" w:type="dxa"/>
            <w:bottom w:w="55" w:type="dxa"/>
            <w:right w:w="55" w:type="dxa"/>
          </w:tblCellMar>
        </w:tblPrEx>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52"/>
              <w:jc w:val="center"/>
            </w:pPr>
            <w:r>
              <w:rPr>
                <w:color w:val="auto"/>
                <w:sz w:val="16"/>
                <w:szCs w:val="16"/>
              </w:rPr>
              <w:t>Соисполнители</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2865,71</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8597,13</w:t>
            </w:r>
          </w:p>
        </w:tc>
      </w:tr>
      <w:tr>
        <w:trPr>
          <w:wBefore w:w="0" w:type="auto"/>
        </w:trPr>
        <w:tc>
          <w:tcPr>
            <w:tcW w:w="850" w:type="dxa"/>
            <w:vMerge w:val="restart"/>
            <w:tcBorders>
              <w:left w:val="single" w:color="000000" w:sz="0" w:space="0"/>
              <w:bottom w:val="single" w:color="000000" w:sz="0" w:space="0"/>
            </w:tcBorders>
            <w:shd w:val="clear" w:color="auto" w:fill="auto"/>
            <w:noWrap w:val="0"/>
            <w:vAlign w:val="top"/>
          </w:tcPr>
          <w:p>
            <w:pPr>
              <w:pStyle w:val="49"/>
              <w:jc w:val="center"/>
            </w:pPr>
            <w:r>
              <w:rPr>
                <w:sz w:val="20"/>
                <w:szCs w:val="20"/>
              </w:rPr>
              <w:t>Подпрограмма 3</w:t>
            </w:r>
          </w:p>
        </w:tc>
        <w:tc>
          <w:tcPr>
            <w:tcW w:w="850" w:type="dxa"/>
            <w:vMerge w:val="restart"/>
            <w:tcBorders>
              <w:left w:val="single" w:color="000000" w:sz="0" w:space="0"/>
              <w:bottom w:val="single" w:color="000000" w:sz="0" w:space="0"/>
            </w:tcBorders>
            <w:shd w:val="clear" w:color="auto" w:fill="auto"/>
            <w:noWrap w:val="0"/>
            <w:vAlign w:val="top"/>
          </w:tcPr>
          <w:p>
            <w:pPr>
              <w:pStyle w:val="52"/>
              <w:snapToGrid w:val="0"/>
              <w:jc w:val="center"/>
            </w:pPr>
            <w:r>
              <w:rPr>
                <w:color w:val="auto"/>
                <w:sz w:val="20"/>
                <w:szCs w:val="20"/>
              </w:rPr>
              <w:t>«Экология»</w:t>
            </w: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Всего</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2424,77</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8323,30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160,00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10908,07</w:t>
            </w:r>
          </w:p>
        </w:tc>
      </w:tr>
      <w:tr>
        <w:tblPrEx>
          <w:tblCellMar>
            <w:top w:w="55" w:type="dxa"/>
            <w:left w:w="55" w:type="dxa"/>
            <w:bottom w:w="55" w:type="dxa"/>
            <w:right w:w="55" w:type="dxa"/>
          </w:tblCellMar>
        </w:tblPrEx>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Заказчик-координатор</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rPr>
                <w:sz w:val="20"/>
                <w:szCs w:val="20"/>
              </w:rPr>
            </w:pPr>
          </w:p>
        </w:tc>
      </w:tr>
      <w:tr>
        <w:tblPrEx>
          <w:tblCellMar>
            <w:top w:w="55" w:type="dxa"/>
            <w:left w:w="55" w:type="dxa"/>
            <w:bottom w:w="55" w:type="dxa"/>
            <w:right w:w="55" w:type="dxa"/>
          </w:tblCellMar>
        </w:tblPrEx>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52"/>
              <w:jc w:val="center"/>
            </w:pPr>
            <w:r>
              <w:rPr>
                <w:color w:val="auto"/>
                <w:sz w:val="16"/>
                <w:szCs w:val="16"/>
              </w:rPr>
              <w:t>Соисполнители</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2424,77</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8323,30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160,00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774" w:type="dxa"/>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10908,07</w:t>
            </w:r>
          </w:p>
        </w:tc>
      </w:tr>
      <w:tr>
        <w:tblPrEx>
          <w:tblCellMar>
            <w:top w:w="55" w:type="dxa"/>
            <w:left w:w="55" w:type="dxa"/>
            <w:bottom w:w="55" w:type="dxa"/>
            <w:right w:w="55" w:type="dxa"/>
          </w:tblCellMar>
        </w:tblPrEx>
        <w:trPr>
          <w:wBefore w:w="0" w:type="auto"/>
        </w:trPr>
        <w:tc>
          <w:tcPr>
            <w:tcW w:w="850" w:type="dxa"/>
            <w:vMerge w:val="restart"/>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Подпрограмма 4</w:t>
            </w:r>
          </w:p>
        </w:tc>
        <w:tc>
          <w:tcPr>
            <w:tcW w:w="850" w:type="dxa"/>
            <w:vMerge w:val="restart"/>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«Обеспечение реализации муниципальной программы</w:t>
            </w: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Всего</w:t>
            </w: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0</w:t>
            </w:r>
          </w:p>
        </w:tc>
      </w:tr>
      <w:tr>
        <w:trPr>
          <w:wBefore w:w="0" w:type="auto"/>
        </w:trPr>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850" w:type="dxa"/>
            <w:vMerge w:val="continue"/>
            <w:tcBorders>
              <w:left w:val="single" w:color="000000" w:sz="0" w:space="0"/>
              <w:bottom w:val="single" w:color="000000" w:sz="0" w:space="0"/>
            </w:tcBorders>
            <w:shd w:val="clear" w:color="auto" w:fill="auto"/>
            <w:noWrap w:val="0"/>
            <w:vAlign w:val="top"/>
          </w:tcPr>
          <w:p>
            <w:pPr>
              <w:pStyle w:val="49"/>
              <w:snapToGrid w:val="0"/>
              <w:jc w:val="center"/>
              <w:rPr>
                <w:sz w:val="20"/>
                <w:szCs w:val="20"/>
              </w:rPr>
            </w:pPr>
          </w:p>
        </w:tc>
        <w:tc>
          <w:tcPr>
            <w:tcW w:w="1477" w:type="dxa"/>
            <w:tcBorders>
              <w:left w:val="single" w:color="000000" w:sz="0" w:space="0"/>
              <w:bottom w:val="single" w:color="000000" w:sz="0" w:space="0"/>
            </w:tcBorders>
            <w:shd w:val="clear" w:color="auto" w:fill="auto"/>
            <w:noWrap w:val="0"/>
            <w:vAlign w:val="top"/>
          </w:tcPr>
          <w:p>
            <w:pPr>
              <w:pStyle w:val="49"/>
              <w:jc w:val="center"/>
            </w:pPr>
            <w:r>
              <w:rPr>
                <w:sz w:val="16"/>
                <w:szCs w:val="16"/>
              </w:rPr>
              <w:t>Заказчик-координатор</w:t>
            </w:r>
          </w:p>
          <w:p>
            <w:pPr>
              <w:pStyle w:val="52"/>
              <w:jc w:val="center"/>
              <w:rPr>
                <w:color w:val="auto"/>
                <w:sz w:val="16"/>
                <w:szCs w:val="16"/>
              </w:rPr>
            </w:pPr>
          </w:p>
        </w:tc>
        <w:tc>
          <w:tcPr>
            <w:tcW w:w="883"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774" w:type="dxa"/>
            <w:tcBorders>
              <w:left w:val="single" w:color="000000" w:sz="0" w:space="0"/>
              <w:bottom w:val="single" w:color="000000" w:sz="0" w:space="0"/>
            </w:tcBorders>
            <w:shd w:val="clear" w:color="auto" w:fill="auto"/>
            <w:noWrap w:val="0"/>
            <w:vAlign w:val="top"/>
          </w:tcPr>
          <w:p>
            <w:pPr>
              <w:pStyle w:val="49"/>
              <w:snapToGrid w:val="0"/>
              <w:jc w:val="center"/>
            </w:pPr>
            <w:r>
              <w:rPr>
                <w:sz w:val="20"/>
                <w:szCs w:val="20"/>
              </w:rPr>
              <w:t>0</w:t>
            </w:r>
          </w:p>
        </w:tc>
        <w:tc>
          <w:tcPr>
            <w:tcW w:w="905" w:type="dxa"/>
            <w:tcBorders>
              <w:left w:val="single" w:color="000000" w:sz="0" w:space="0"/>
              <w:bottom w:val="single" w:color="000000" w:sz="0" w:space="0"/>
              <w:right w:val="single" w:color="000000" w:sz="0" w:space="0"/>
            </w:tcBorders>
            <w:shd w:val="clear" w:color="auto" w:fill="auto"/>
            <w:noWrap w:val="0"/>
            <w:vAlign w:val="top"/>
          </w:tcPr>
          <w:p>
            <w:pPr>
              <w:pStyle w:val="49"/>
              <w:snapToGrid w:val="0"/>
              <w:jc w:val="center"/>
            </w:pPr>
            <w:r>
              <w:rPr>
                <w:sz w:val="20"/>
                <w:szCs w:val="20"/>
              </w:rPr>
              <w:t>0</w:t>
            </w:r>
          </w:p>
        </w:tc>
      </w:tr>
    </w:tbl>
    <w:p>
      <w:pPr>
        <w:jc w:val="center"/>
        <w:sectPr>
          <w:headerReference r:id="rId26" w:type="first"/>
          <w:footerReference r:id="rId29" w:type="first"/>
          <w:headerReference r:id="rId24" w:type="default"/>
          <w:footerReference r:id="rId27" w:type="default"/>
          <w:headerReference r:id="rId25" w:type="even"/>
          <w:footerReference r:id="rId28" w:type="even"/>
          <w:pgSz w:w="11906" w:h="16838"/>
          <w:pgMar w:top="1134" w:right="851" w:bottom="1134" w:left="1701" w:header="284" w:footer="284" w:gutter="0"/>
          <w:pgNumType w:start="1"/>
          <w:cols w:space="720" w:num="1"/>
          <w:docGrid w:linePitch="360" w:charSpace="0"/>
        </w:sectPr>
      </w:pPr>
      <w:r>
        <w:t>_______________________</w:t>
      </w:r>
    </w:p>
    <w:p>
      <w:pPr>
        <w:pStyle w:val="52"/>
        <w:ind w:left="3969"/>
        <w:jc w:val="center"/>
      </w:pPr>
      <w:r>
        <w:rPr>
          <w:color w:val="auto"/>
        </w:rPr>
        <w:t>Приложение 4</w:t>
      </w:r>
    </w:p>
    <w:p>
      <w:pPr>
        <w:pStyle w:val="52"/>
        <w:ind w:left="3969"/>
        <w:jc w:val="center"/>
      </w:pPr>
      <w:r>
        <w:rPr>
          <w:color w:val="auto"/>
        </w:rPr>
        <w:t>к муниципальной программе</w:t>
      </w:r>
    </w:p>
    <w:p>
      <w:pPr>
        <w:pStyle w:val="52"/>
        <w:ind w:left="3969"/>
        <w:jc w:val="center"/>
      </w:pPr>
      <w:r>
        <w:rPr>
          <w:color w:val="auto"/>
        </w:rPr>
        <w:t>«Обеспечение населения Богородского муниципального  округа</w:t>
      </w:r>
    </w:p>
    <w:p>
      <w:pPr>
        <w:pStyle w:val="52"/>
        <w:ind w:left="3969"/>
        <w:jc w:val="center"/>
      </w:pPr>
      <w:r>
        <w:rPr>
          <w:color w:val="auto"/>
        </w:rPr>
        <w:t>Нижегородской области качественными услугами</w:t>
      </w:r>
    </w:p>
    <w:p>
      <w:pPr>
        <w:pStyle w:val="52"/>
        <w:ind w:left="3969"/>
        <w:jc w:val="center"/>
      </w:pPr>
      <w:r>
        <w:rPr>
          <w:color w:val="auto"/>
        </w:rPr>
        <w:t>в сфере жилищно-коммунального хозяйства».</w:t>
      </w:r>
    </w:p>
    <w:p>
      <w:pPr>
        <w:pStyle w:val="52"/>
        <w:ind w:firstLine="720"/>
        <w:jc w:val="right"/>
        <w:rPr>
          <w:color w:val="auto"/>
        </w:rPr>
      </w:pPr>
    </w:p>
    <w:p>
      <w:pPr>
        <w:pStyle w:val="52"/>
        <w:ind w:firstLine="720"/>
        <w:jc w:val="center"/>
      </w:pPr>
      <w:r>
        <w:rPr>
          <w:b/>
          <w:bCs/>
          <w:color w:val="auto"/>
        </w:rPr>
        <w:t xml:space="preserve">Прогнозная оценка на реализацию муниципальной программы «Обеспечение населения Богородского муниципального  округа </w:t>
      </w:r>
    </w:p>
    <w:p>
      <w:pPr>
        <w:pStyle w:val="52"/>
        <w:ind w:firstLine="720"/>
        <w:jc w:val="center"/>
      </w:pPr>
      <w:r>
        <w:rPr>
          <w:b/>
          <w:bCs/>
          <w:color w:val="auto"/>
        </w:rPr>
        <w:t xml:space="preserve">Нижегородской области качественными услугами </w:t>
      </w:r>
    </w:p>
    <w:p>
      <w:pPr>
        <w:pStyle w:val="52"/>
        <w:ind w:firstLine="720"/>
        <w:jc w:val="center"/>
      </w:pPr>
      <w:r>
        <w:rPr>
          <w:b/>
          <w:bCs/>
          <w:color w:val="auto"/>
        </w:rPr>
        <w:t>в сфере жилищно-коммунального хозяйства»</w:t>
      </w:r>
    </w:p>
    <w:p>
      <w:pPr>
        <w:pStyle w:val="52"/>
        <w:ind w:firstLine="720"/>
        <w:jc w:val="center"/>
        <w:rPr>
          <w:color w:val="auto"/>
        </w:rPr>
      </w:pPr>
    </w:p>
    <w:tbl>
      <w:tblPr>
        <w:tblStyle w:val="4"/>
        <w:tblW w:w="0" w:type="auto"/>
        <w:tblInd w:w="-149" w:type="dxa"/>
        <w:tblLayout w:type="fixed"/>
        <w:tblCellMar>
          <w:top w:w="0" w:type="dxa"/>
          <w:left w:w="28" w:type="dxa"/>
          <w:bottom w:w="0" w:type="dxa"/>
          <w:right w:w="28" w:type="dxa"/>
        </w:tblCellMar>
      </w:tblPr>
      <w:tblGrid>
        <w:gridCol w:w="845"/>
        <w:gridCol w:w="280"/>
        <w:gridCol w:w="1125"/>
        <w:gridCol w:w="1732"/>
        <w:gridCol w:w="832"/>
        <w:gridCol w:w="872"/>
        <w:gridCol w:w="900"/>
        <w:gridCol w:w="859"/>
        <w:gridCol w:w="846"/>
        <w:gridCol w:w="695"/>
        <w:gridCol w:w="839"/>
      </w:tblGrid>
      <w:tr>
        <w:tblPrEx>
          <w:tblCellMar>
            <w:top w:w="0" w:type="dxa"/>
            <w:left w:w="28" w:type="dxa"/>
            <w:bottom w:w="0" w:type="dxa"/>
            <w:right w:w="28" w:type="dxa"/>
          </w:tblCellMar>
        </w:tblPrEx>
        <w:trPr>
          <w:wBefore w:w="0" w:type="auto"/>
          <w:tblHeader/>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rPr>
                <w:b/>
                <w:bCs/>
                <w:sz w:val="18"/>
                <w:szCs w:val="18"/>
              </w:rPr>
            </w:pPr>
          </w:p>
          <w:p>
            <w:pPr>
              <w:pStyle w:val="52"/>
              <w:jc w:val="center"/>
            </w:pPr>
            <w:r>
              <w:rPr>
                <w:b/>
                <w:bCs/>
                <w:color w:val="auto"/>
                <w:sz w:val="18"/>
                <w:szCs w:val="18"/>
              </w:rPr>
              <w:t xml:space="preserve">Статус </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Подпрограмма муниципальной программы</w:t>
            </w:r>
          </w:p>
        </w:tc>
        <w:tc>
          <w:tcPr>
            <w:tcW w:w="1732"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Источники финансирования </w:t>
            </w:r>
          </w:p>
        </w:tc>
        <w:tc>
          <w:tcPr>
            <w:tcW w:w="5843"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18"/>
                <w:szCs w:val="18"/>
              </w:rPr>
              <w:t xml:space="preserve">Оценка расходов (тыс. руб.), годы </w:t>
            </w:r>
          </w:p>
        </w:tc>
      </w:tr>
      <w:tr>
        <w:tblPrEx>
          <w:tblCellMar>
            <w:top w:w="0" w:type="dxa"/>
            <w:left w:w="28" w:type="dxa"/>
            <w:bottom w:w="0" w:type="dxa"/>
            <w:right w:w="28" w:type="dxa"/>
          </w:tblCellMar>
        </w:tblPrEx>
        <w:trPr>
          <w:wBefore w:w="0" w:type="auto"/>
          <w:tblHeader/>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b/>
                <w:bCs/>
                <w:sz w:val="18"/>
                <w:szCs w:val="18"/>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
                <w:bCs/>
                <w:color w:val="auto"/>
                <w:sz w:val="18"/>
                <w:szCs w:val="18"/>
              </w:rPr>
            </w:pPr>
          </w:p>
        </w:tc>
        <w:tc>
          <w:tcPr>
            <w:tcW w:w="1732" w:type="dxa"/>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rPr>
                <w:b/>
                <w:bCs/>
                <w:color w:val="auto"/>
                <w:sz w:val="18"/>
                <w:szCs w:val="18"/>
              </w:rPr>
            </w:pP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2021</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2022</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2023</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2024</w:t>
            </w: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2025 </w:t>
            </w: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2026</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18"/>
                <w:szCs w:val="18"/>
              </w:rPr>
              <w:t>2027</w:t>
            </w:r>
          </w:p>
        </w:tc>
      </w:tr>
      <w:tr>
        <w:tblPrEx>
          <w:tblCellMar>
            <w:top w:w="0" w:type="dxa"/>
            <w:left w:w="28" w:type="dxa"/>
            <w:bottom w:w="0" w:type="dxa"/>
            <w:right w:w="28" w:type="dxa"/>
          </w:tblCellMar>
        </w:tblPrEx>
        <w:trPr>
          <w:wBefore w:w="0" w:type="auto"/>
          <w:tblHeader/>
        </w:trPr>
        <w:tc>
          <w:tcPr>
            <w:tcW w:w="84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1 </w:t>
            </w:r>
          </w:p>
        </w:tc>
        <w:tc>
          <w:tcPr>
            <w:tcW w:w="1405" w:type="dxa"/>
            <w:gridSpan w:val="2"/>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2</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3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4 </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5 </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6 </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7 </w:t>
            </w: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8 </w:t>
            </w: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b/>
                <w:bCs/>
                <w:color w:val="auto"/>
                <w:sz w:val="18"/>
                <w:szCs w:val="18"/>
              </w:rPr>
              <w:t xml:space="preserve">9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jc w:val="center"/>
            </w:pPr>
            <w:r>
              <w:rPr>
                <w:b/>
                <w:bCs/>
                <w:color w:val="auto"/>
                <w:sz w:val="18"/>
                <w:szCs w:val="18"/>
              </w:rPr>
              <w:t>10</w:t>
            </w:r>
          </w:p>
        </w:tc>
      </w:tr>
      <w:tr>
        <w:trPr>
          <w:wBefore w:w="0" w:type="auto"/>
        </w:trPr>
        <w:tc>
          <w:tcPr>
            <w:tcW w:w="2250" w:type="dxa"/>
            <w:gridSpan w:val="3"/>
            <w:vMerge w:val="restart"/>
            <w:tcBorders>
              <w:top w:val="single" w:color="000000" w:sz="4" w:space="0"/>
              <w:left w:val="single" w:color="000000" w:sz="4" w:space="0"/>
              <w:bottom w:val="single" w:color="000000" w:sz="4" w:space="0"/>
            </w:tcBorders>
            <w:shd w:val="clear" w:color="auto" w:fill="auto"/>
            <w:noWrap w:val="0"/>
            <w:vAlign w:val="top"/>
          </w:tcPr>
          <w:p>
            <w:pPr>
              <w:snapToGrid w:val="0"/>
              <w:rPr>
                <w:b/>
                <w:bCs/>
                <w:sz w:val="18"/>
                <w:szCs w:val="18"/>
              </w:rPr>
            </w:pPr>
          </w:p>
          <w:p>
            <w:pPr>
              <w:pStyle w:val="52"/>
              <w:jc w:val="center"/>
            </w:pPr>
            <w:r>
              <w:rPr>
                <w:color w:val="auto"/>
                <w:sz w:val="20"/>
                <w:szCs w:val="20"/>
              </w:rPr>
              <w:t>Муниципальная программа</w:t>
            </w:r>
          </w:p>
          <w:p>
            <w:pPr>
              <w:pStyle w:val="52"/>
              <w:jc w:val="center"/>
            </w:pPr>
            <w:r>
              <w:rPr>
                <w:bCs/>
                <w:color w:val="auto"/>
                <w:sz w:val="20"/>
                <w:szCs w:val="20"/>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252214,92</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1043275,41</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22865,71</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23942,76</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11189,01</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3025,71</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10920,86</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33293,10</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640,00</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217351,3</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998793,3</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19200,00</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2250" w:type="dxa"/>
            <w:gridSpan w:val="3"/>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p>
            <w:pPr>
              <w:pStyle w:val="52"/>
              <w:jc w:val="center"/>
            </w:pPr>
            <w:r>
              <w:rPr>
                <w:color w:val="auto"/>
                <w:sz w:val="20"/>
                <w:szCs w:val="20"/>
              </w:rPr>
              <w:t>Подпрограмма 1</w:t>
            </w:r>
          </w:p>
          <w:p>
            <w:pPr>
              <w:pStyle w:val="52"/>
              <w:jc w:val="center"/>
              <w:rPr>
                <w:color w:val="auto"/>
                <w:sz w:val="20"/>
                <w:szCs w:val="20"/>
              </w:rPr>
            </w:pPr>
          </w:p>
          <w:p>
            <w:pPr>
              <w:pStyle w:val="52"/>
              <w:jc w:val="center"/>
              <w:rPr>
                <w:color w:val="auto"/>
                <w:sz w:val="20"/>
                <w:szCs w:val="20"/>
              </w:rPr>
            </w:pPr>
          </w:p>
          <w:p>
            <w:pPr>
              <w:pStyle w:val="52"/>
              <w:jc w:val="center"/>
              <w:rPr>
                <w:color w:val="auto"/>
                <w:sz w:val="20"/>
                <w:szCs w:val="20"/>
              </w:rPr>
            </w:pPr>
          </w:p>
          <w:p>
            <w:pPr>
              <w:pStyle w:val="52"/>
              <w:jc w:val="center"/>
              <w:rPr>
                <w:color w:val="auto"/>
                <w:sz w:val="20"/>
                <w:szCs w:val="20"/>
              </w:rPr>
            </w:pPr>
          </w:p>
          <w:p>
            <w:pPr>
              <w:pStyle w:val="52"/>
              <w:jc w:val="center"/>
              <w:rPr>
                <w:color w:val="auto"/>
                <w:sz w:val="20"/>
                <w:szCs w:val="20"/>
              </w:rPr>
            </w:pP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области»</w:t>
            </w:r>
          </w:p>
          <w:p>
            <w:pPr>
              <w:pStyle w:val="52"/>
              <w:jc w:val="center"/>
              <w:rPr>
                <w:bCs/>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18652,28</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19652,28</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1</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«Строительство, капитальный ремонт, ремонт и реконструкция объектов водоснабжения»</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14152,28</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14152,28</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2</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«Строительство, капитальный ремонт, ремонт и реконструкция объектов водоотведения»</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4500,0</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4500,0</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3</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jc w:val="both"/>
            </w:pPr>
            <w:r>
              <w:rPr>
                <w:color w:val="auto"/>
                <w:sz w:val="22"/>
                <w:szCs w:val="22"/>
              </w:rPr>
              <w:t>«Капитальный ремонт, реконструкция объектов теплоснабжения»</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bCs/>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bCs/>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bCs/>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bCs/>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bCs/>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4</w:t>
            </w:r>
          </w:p>
        </w:tc>
        <w:tc>
          <w:tcPr>
            <w:tcW w:w="1405" w:type="dxa"/>
            <w:gridSpan w:val="2"/>
            <w:vMerge w:val="restart"/>
            <w:tcBorders>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Основное мероприятие 4 «Ремонт  и восстановление не  централизованных источников водоснабжения»</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Height w:val="851" w:hRule="atLeast"/>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p>
            <w:pPr>
              <w:pStyle w:val="52"/>
              <w:snapToGrid w:val="0"/>
              <w:jc w:val="center"/>
            </w:pPr>
            <w:r>
              <w:rPr>
                <w:color w:val="auto"/>
                <w:sz w:val="20"/>
                <w:szCs w:val="20"/>
              </w:rPr>
              <w:t>Подпрограмма  2</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«Капитальный ремонт общего имущества  в многоквартирных домах»</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1</w:t>
            </w:r>
          </w:p>
        </w:tc>
        <w:tc>
          <w:tcPr>
            <w:tcW w:w="1405" w:type="dxa"/>
            <w:gridSpan w:val="2"/>
            <w:vMerge w:val="restart"/>
            <w:tcBorders>
              <w:left w:val="single" w:color="000000" w:sz="4" w:space="0"/>
              <w:bottom w:val="single" w:color="000000" w:sz="4" w:space="0"/>
            </w:tcBorders>
            <w:shd w:val="clear" w:color="auto" w:fill="auto"/>
            <w:noWrap w:val="0"/>
            <w:vAlign w:val="top"/>
          </w:tcPr>
          <w:p>
            <w:pPr>
              <w:pStyle w:val="52"/>
              <w:snapToGrid w:val="0"/>
              <w:jc w:val="center"/>
            </w:pPr>
            <w:r>
              <w:rPr>
                <w:color w:val="auto"/>
                <w:sz w:val="22"/>
                <w:szCs w:val="22"/>
              </w:rPr>
              <w:t>«Расходы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2865,71</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left w:val="single" w:color="000000" w:sz="4" w:space="0"/>
              <w:bottom w:val="single" w:color="000000" w:sz="4" w:space="0"/>
            </w:tcBorders>
            <w:shd w:val="clear" w:color="auto" w:fill="auto"/>
            <w:noWrap w:val="0"/>
            <w:vAlign w:val="top"/>
          </w:tcPr>
          <w:p>
            <w:pPr>
              <w:snapToGrid w:val="0"/>
              <w:rPr>
                <w:sz w:val="19"/>
                <w:szCs w:val="19"/>
              </w:rPr>
            </w:pPr>
          </w:p>
          <w:p>
            <w:pPr>
              <w:pStyle w:val="52"/>
              <w:snapToGrid w:val="0"/>
              <w:jc w:val="center"/>
            </w:pPr>
            <w:r>
              <w:rPr>
                <w:color w:val="auto"/>
                <w:sz w:val="20"/>
                <w:szCs w:val="20"/>
              </w:rPr>
              <w:t>Подпрограмма 3</w:t>
            </w:r>
          </w:p>
        </w:tc>
        <w:tc>
          <w:tcPr>
            <w:tcW w:w="1405" w:type="dxa"/>
            <w:gridSpan w:val="2"/>
            <w:vMerge w:val="restart"/>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«Экология»</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230696,93</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1040409,7</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20000,00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2424,77</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8323,30</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160,00</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10920,86</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33293,1</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640,00</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217351,3</w:t>
            </w: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998793,30</w:t>
            </w: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19200,00</w:t>
            </w: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restart"/>
            <w:tcBorders>
              <w:top w:val="single" w:color="000000" w:sz="4" w:space="0"/>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w:t>
            </w:r>
          </w:p>
        </w:tc>
        <w:tc>
          <w:tcPr>
            <w:tcW w:w="1405" w:type="dxa"/>
            <w:gridSpan w:val="2"/>
            <w:vMerge w:val="restart"/>
            <w:tcBorders>
              <w:top w:val="single" w:color="000000" w:sz="4" w:space="0"/>
              <w:left w:val="single" w:color="000000" w:sz="4" w:space="0"/>
              <w:bottom w:val="single" w:color="000000" w:sz="4" w:space="0"/>
            </w:tcBorders>
            <w:shd w:val="clear" w:color="auto" w:fill="auto"/>
            <w:noWrap w:val="0"/>
            <w:vAlign w:val="top"/>
          </w:tcPr>
          <w:p>
            <w:pPr>
              <w:pStyle w:val="52"/>
              <w:snapToGrid w:val="0"/>
              <w:jc w:val="both"/>
            </w:pPr>
            <w:r>
              <w:rPr>
                <w:color w:val="auto"/>
                <w:sz w:val="22"/>
                <w:szCs w:val="22"/>
              </w:rPr>
              <w:t>«Ликвидация свалок и объектов размещения отходов»</w:t>
            </w: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местного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845"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19"/>
                <w:szCs w:val="19"/>
              </w:rPr>
            </w:pPr>
          </w:p>
        </w:tc>
        <w:tc>
          <w:tcPr>
            <w:tcW w:w="1405" w:type="dxa"/>
            <w:gridSpan w:val="2"/>
            <w:vMerge w:val="continue"/>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20"/>
                <w:szCs w:val="20"/>
              </w:rPr>
            </w:pPr>
          </w:p>
        </w:tc>
        <w:tc>
          <w:tcPr>
            <w:tcW w:w="1732"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 фондов)</w:t>
            </w:r>
          </w:p>
        </w:tc>
        <w:tc>
          <w:tcPr>
            <w:tcW w:w="83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top w:val="single" w:color="000000" w:sz="4" w:space="0"/>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restart"/>
            <w:tcBorders>
              <w:left w:val="single" w:color="000000" w:sz="4" w:space="0"/>
              <w:bottom w:val="single" w:color="000000" w:sz="4" w:space="0"/>
            </w:tcBorders>
            <w:shd w:val="clear" w:color="auto" w:fill="auto"/>
            <w:noWrap w:val="0"/>
            <w:vAlign w:val="top"/>
          </w:tcPr>
          <w:p>
            <w:pPr>
              <w:pStyle w:val="52"/>
              <w:snapToGrid w:val="0"/>
              <w:jc w:val="both"/>
            </w:pPr>
            <w:r>
              <w:rPr>
                <w:color w:val="auto"/>
                <w:sz w:val="22"/>
                <w:szCs w:val="22"/>
              </w:rPr>
              <w:t xml:space="preserve">Федеральный проект «Чистая страна». </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restart"/>
            <w:tcBorders>
              <w:left w:val="single" w:color="000000" w:sz="4" w:space="0"/>
              <w:bottom w:val="single" w:color="000000" w:sz="4" w:space="0"/>
            </w:tcBorders>
            <w:shd w:val="clear" w:color="auto" w:fill="auto"/>
            <w:noWrap w:val="0"/>
            <w:vAlign w:val="top"/>
          </w:tcPr>
          <w:p>
            <w:pPr>
              <w:pStyle w:val="52"/>
              <w:snapToGrid w:val="0"/>
              <w:jc w:val="both"/>
            </w:pPr>
            <w:r>
              <w:rPr>
                <w:color w:val="auto"/>
                <w:sz w:val="22"/>
                <w:szCs w:val="22"/>
              </w:rPr>
              <w:t>Федеральный проект «Оздоровление Волги».</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230696,93</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1040409,7</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20000,00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2424,77</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8323,30</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160,00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10920,86</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33293,1</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640,00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217351,3</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998793,30</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19200,00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2250" w:type="dxa"/>
            <w:gridSpan w:val="3"/>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restart"/>
            <w:tcBorders>
              <w:left w:val="single" w:color="000000" w:sz="4" w:space="0"/>
              <w:bottom w:val="single" w:color="000000" w:sz="4" w:space="0"/>
            </w:tcBorders>
            <w:shd w:val="clear" w:color="auto" w:fill="auto"/>
            <w:noWrap w:val="0"/>
            <w:vAlign w:val="top"/>
          </w:tcPr>
          <w:p>
            <w:pPr>
              <w:snapToGrid w:val="0"/>
            </w:pPr>
            <w:r>
              <w:rPr>
                <w:sz w:val="19"/>
                <w:szCs w:val="19"/>
              </w:rPr>
              <w:t xml:space="preserve">Подпрограмма 4 </w:t>
            </w:r>
          </w:p>
        </w:tc>
        <w:tc>
          <w:tcPr>
            <w:tcW w:w="1125" w:type="dxa"/>
            <w:vMerge w:val="restart"/>
            <w:tcBorders>
              <w:left w:val="single" w:color="000000" w:sz="4" w:space="0"/>
              <w:bottom w:val="single" w:color="000000" w:sz="4" w:space="0"/>
            </w:tcBorders>
            <w:shd w:val="clear" w:color="auto" w:fill="auto"/>
            <w:noWrap w:val="0"/>
            <w:vAlign w:val="top"/>
          </w:tcPr>
          <w:p>
            <w:pPr>
              <w:snapToGrid w:val="0"/>
            </w:pPr>
            <w:r>
              <w:rPr>
                <w:sz w:val="19"/>
                <w:szCs w:val="19"/>
              </w:rPr>
              <w:t>«Обеспечение реализации муниципальной программы»</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46"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695"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19"/>
                <w:szCs w:val="19"/>
              </w:rPr>
              <w:t>0</w:t>
            </w: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restart"/>
            <w:tcBorders>
              <w:left w:val="single" w:color="000000" w:sz="4" w:space="0"/>
              <w:bottom w:val="single" w:color="000000" w:sz="4" w:space="0"/>
            </w:tcBorders>
            <w:shd w:val="clear" w:color="auto" w:fill="auto"/>
            <w:noWrap w:val="0"/>
            <w:vAlign w:val="top"/>
          </w:tcPr>
          <w:p>
            <w:pPr>
              <w:snapToGrid w:val="0"/>
            </w:pPr>
            <w:r>
              <w:rPr>
                <w:sz w:val="19"/>
                <w:szCs w:val="19"/>
              </w:rPr>
              <w:t>Основное мероприятие 1</w:t>
            </w:r>
          </w:p>
        </w:tc>
        <w:tc>
          <w:tcPr>
            <w:tcW w:w="1125" w:type="dxa"/>
            <w:vMerge w:val="restart"/>
            <w:tcBorders>
              <w:left w:val="single" w:color="000000" w:sz="4" w:space="0"/>
              <w:bottom w:val="single" w:color="000000" w:sz="4" w:space="0"/>
            </w:tcBorders>
            <w:shd w:val="clear" w:color="auto" w:fill="auto"/>
            <w:noWrap w:val="0"/>
            <w:vAlign w:val="top"/>
          </w:tcPr>
          <w:p>
            <w:pPr>
              <w:snapToGrid w:val="0"/>
            </w:pPr>
            <w:r>
              <w:rPr>
                <w:sz w:val="19"/>
                <w:szCs w:val="19"/>
              </w:rPr>
              <w:t>«Содержание аппарата управления»</w:t>
            </w: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Всего </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72"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900"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59"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46"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695"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19"/>
                <w:szCs w:val="19"/>
              </w:rPr>
              <w:t>0</w:t>
            </w: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pPr>
            <w:r>
              <w:rPr>
                <w:color w:val="auto"/>
                <w:sz w:val="19"/>
                <w:szCs w:val="19"/>
              </w:rPr>
              <w:t>0</w:t>
            </w: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местного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расходы областного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pStyle w:val="52"/>
              <w:jc w:val="center"/>
            </w:pPr>
            <w:r>
              <w:rPr>
                <w:color w:val="auto"/>
                <w:sz w:val="20"/>
                <w:szCs w:val="20"/>
              </w:rPr>
              <w:t xml:space="preserve"> расходы федерального бюджета</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r>
        <w:tblPrEx>
          <w:tblCellMar>
            <w:top w:w="0" w:type="dxa"/>
            <w:left w:w="28" w:type="dxa"/>
            <w:bottom w:w="0" w:type="dxa"/>
            <w:right w:w="28" w:type="dxa"/>
          </w:tblCellMar>
        </w:tblPrEx>
        <w:trPr>
          <w:wBefore w:w="0" w:type="auto"/>
        </w:trPr>
        <w:tc>
          <w:tcPr>
            <w:tcW w:w="1125" w:type="dxa"/>
            <w:gridSpan w:val="2"/>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125" w:type="dxa"/>
            <w:vMerge w:val="continue"/>
            <w:tcBorders>
              <w:left w:val="single" w:color="000000" w:sz="4" w:space="0"/>
              <w:bottom w:val="single" w:color="000000" w:sz="4" w:space="0"/>
            </w:tcBorders>
            <w:shd w:val="clear" w:color="auto" w:fill="auto"/>
            <w:noWrap w:val="0"/>
            <w:vAlign w:val="top"/>
          </w:tcPr>
          <w:p>
            <w:pPr>
              <w:snapToGrid w:val="0"/>
              <w:rPr>
                <w:sz w:val="19"/>
                <w:szCs w:val="19"/>
              </w:rPr>
            </w:pPr>
          </w:p>
        </w:tc>
        <w:tc>
          <w:tcPr>
            <w:tcW w:w="1732" w:type="dxa"/>
            <w:tcBorders>
              <w:left w:val="single" w:color="000000" w:sz="4" w:space="0"/>
              <w:bottom w:val="single" w:color="000000" w:sz="4" w:space="0"/>
            </w:tcBorders>
            <w:shd w:val="clear" w:color="auto" w:fill="auto"/>
            <w:noWrap w:val="0"/>
            <w:vAlign w:val="top"/>
          </w:tcPr>
          <w:p>
            <w:pPr>
              <w:jc w:val="center"/>
            </w:pPr>
            <w:r>
              <w:rPr>
                <w:sz w:val="20"/>
                <w:szCs w:val="20"/>
              </w:rPr>
              <w:t>прочие источники(средства предприятий, собственные средства населения,</w:t>
            </w:r>
          </w:p>
          <w:p>
            <w:pPr>
              <w:pStyle w:val="52"/>
              <w:jc w:val="center"/>
            </w:pPr>
            <w:r>
              <w:rPr>
                <w:color w:val="auto"/>
                <w:sz w:val="20"/>
                <w:szCs w:val="20"/>
              </w:rPr>
              <w:t>средства внебюджетных фондов)</w:t>
            </w:r>
          </w:p>
        </w:tc>
        <w:tc>
          <w:tcPr>
            <w:tcW w:w="83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72"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900"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59"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46"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695" w:type="dxa"/>
            <w:tcBorders>
              <w:left w:val="single" w:color="000000" w:sz="4" w:space="0"/>
              <w:bottom w:val="single" w:color="000000" w:sz="4" w:space="0"/>
            </w:tcBorders>
            <w:shd w:val="clear" w:color="auto" w:fill="auto"/>
            <w:noWrap w:val="0"/>
            <w:vAlign w:val="top"/>
          </w:tcPr>
          <w:p>
            <w:pPr>
              <w:pStyle w:val="52"/>
              <w:snapToGrid w:val="0"/>
              <w:jc w:val="center"/>
              <w:rPr>
                <w:color w:val="auto"/>
                <w:sz w:val="19"/>
                <w:szCs w:val="19"/>
              </w:rPr>
            </w:pPr>
          </w:p>
        </w:tc>
        <w:tc>
          <w:tcPr>
            <w:tcW w:w="839" w:type="dxa"/>
            <w:tcBorders>
              <w:left w:val="single" w:color="000000" w:sz="4" w:space="0"/>
              <w:bottom w:val="single" w:color="000000" w:sz="4" w:space="0"/>
              <w:right w:val="single" w:color="000000" w:sz="4" w:space="0"/>
            </w:tcBorders>
            <w:shd w:val="clear" w:color="auto" w:fill="auto"/>
            <w:noWrap w:val="0"/>
            <w:vAlign w:val="top"/>
          </w:tcPr>
          <w:p>
            <w:pPr>
              <w:pStyle w:val="52"/>
              <w:snapToGrid w:val="0"/>
              <w:jc w:val="center"/>
              <w:rPr>
                <w:color w:val="auto"/>
                <w:sz w:val="19"/>
                <w:szCs w:val="19"/>
              </w:rPr>
            </w:pPr>
          </w:p>
        </w:tc>
      </w:tr>
    </w:tbl>
    <w:p>
      <w:pPr>
        <w:pStyle w:val="52"/>
        <w:ind w:firstLine="720"/>
        <w:jc w:val="center"/>
      </w:pPr>
      <w:r>
        <w:rPr>
          <w:color w:val="auto"/>
          <w:sz w:val="26"/>
          <w:szCs w:val="26"/>
        </w:rPr>
        <w:t>___________________________</w:t>
      </w:r>
    </w:p>
    <w:p>
      <w:pPr>
        <w:pStyle w:val="52"/>
        <w:ind w:firstLine="720"/>
        <w:jc w:val="center"/>
        <w:rPr>
          <w:color w:val="auto"/>
          <w:sz w:val="26"/>
          <w:szCs w:val="26"/>
        </w:rPr>
      </w:pPr>
    </w:p>
    <w:p>
      <w:pPr>
        <w:sectPr>
          <w:headerReference r:id="rId32" w:type="first"/>
          <w:footerReference r:id="rId35" w:type="first"/>
          <w:headerReference r:id="rId30" w:type="default"/>
          <w:footerReference r:id="rId33" w:type="default"/>
          <w:headerReference r:id="rId31" w:type="even"/>
          <w:footerReference r:id="rId34" w:type="even"/>
          <w:pgSz w:w="11906" w:h="16838"/>
          <w:pgMar w:top="1134" w:right="851" w:bottom="1134" w:left="1701" w:header="284" w:footer="284" w:gutter="0"/>
          <w:pgNumType w:start="1"/>
          <w:cols w:space="720" w:num="1"/>
          <w:docGrid w:linePitch="360" w:charSpace="0"/>
        </w:sectPr>
      </w:pPr>
    </w:p>
    <w:p>
      <w:pPr>
        <w:pStyle w:val="52"/>
        <w:rPr>
          <w:color w:val="auto"/>
          <w:sz w:val="26"/>
          <w:szCs w:val="26"/>
        </w:rPr>
        <w:sectPr>
          <w:type w:val="continuous"/>
          <w:pgSz w:w="11906" w:h="16838"/>
          <w:pgMar w:top="1134" w:right="851" w:bottom="1134" w:left="1701" w:header="284" w:footer="284" w:gutter="0"/>
          <w:cols w:space="720" w:num="1"/>
          <w:docGrid w:linePitch="360" w:charSpace="0"/>
        </w:sectPr>
      </w:pPr>
    </w:p>
    <w:p>
      <w:pPr>
        <w:pStyle w:val="52"/>
        <w:ind w:left="3969"/>
        <w:jc w:val="center"/>
      </w:pPr>
      <w:r>
        <w:rPr>
          <w:color w:val="auto"/>
          <w:sz w:val="26"/>
          <w:szCs w:val="26"/>
        </w:rPr>
        <w:t>П</w:t>
      </w:r>
      <w:r>
        <w:rPr>
          <w:color w:val="auto"/>
        </w:rPr>
        <w:t>риложение 5</w:t>
      </w:r>
    </w:p>
    <w:p>
      <w:pPr>
        <w:pStyle w:val="52"/>
        <w:ind w:left="3969"/>
        <w:jc w:val="center"/>
      </w:pPr>
      <w:r>
        <w:rPr>
          <w:color w:val="auto"/>
        </w:rPr>
        <w:t>к муниципальной программе</w:t>
      </w:r>
    </w:p>
    <w:p>
      <w:pPr>
        <w:pStyle w:val="52"/>
        <w:ind w:left="3969"/>
        <w:jc w:val="center"/>
      </w:pPr>
      <w:r>
        <w:rPr>
          <w:color w:val="auto"/>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p>
      <w:pPr>
        <w:pStyle w:val="52"/>
        <w:ind w:firstLine="720"/>
        <w:jc w:val="right"/>
        <w:rPr>
          <w:color w:val="auto"/>
        </w:rPr>
      </w:pPr>
    </w:p>
    <w:p>
      <w:pPr>
        <w:spacing w:line="252" w:lineRule="auto"/>
        <w:jc w:val="center"/>
      </w:pPr>
      <w:r>
        <w:rPr>
          <w:b/>
        </w:rPr>
        <w:t>Аналитическое распределение средств бюджета округа подпрограммы «Обеспечение реализации муниципальной программы» по подпрограммам</w:t>
      </w:r>
    </w:p>
    <w:p>
      <w:pPr>
        <w:spacing w:line="252" w:lineRule="auto"/>
        <w:jc w:val="center"/>
        <w:rPr>
          <w:b/>
          <w:sz w:val="16"/>
          <w:szCs w:val="16"/>
        </w:rPr>
      </w:pPr>
    </w:p>
    <w:tbl>
      <w:tblPr>
        <w:tblStyle w:val="4"/>
        <w:tblW w:w="0" w:type="auto"/>
        <w:tblInd w:w="-35" w:type="dxa"/>
        <w:tblLayout w:type="fixed"/>
        <w:tblCellMar>
          <w:top w:w="0" w:type="dxa"/>
          <w:left w:w="108" w:type="dxa"/>
          <w:bottom w:w="0" w:type="dxa"/>
          <w:right w:w="108" w:type="dxa"/>
        </w:tblCellMar>
      </w:tblPr>
      <w:tblGrid>
        <w:gridCol w:w="1260"/>
        <w:gridCol w:w="2026"/>
        <w:gridCol w:w="556"/>
        <w:gridCol w:w="556"/>
        <w:gridCol w:w="556"/>
        <w:gridCol w:w="556"/>
        <w:gridCol w:w="556"/>
        <w:gridCol w:w="556"/>
        <w:gridCol w:w="556"/>
        <w:gridCol w:w="556"/>
        <w:gridCol w:w="556"/>
        <w:gridCol w:w="556"/>
        <w:gridCol w:w="713"/>
      </w:tblGrid>
      <w:tr>
        <w:tblPrEx>
          <w:tblCellMar>
            <w:top w:w="0" w:type="dxa"/>
            <w:left w:w="108" w:type="dxa"/>
            <w:bottom w:w="0" w:type="dxa"/>
            <w:right w:w="108" w:type="dxa"/>
          </w:tblCellMar>
        </w:tblPrEx>
        <w:trPr>
          <w:wBefore w:w="0" w:type="auto"/>
          <w:trHeight w:val="23" w:hRule="atLeast"/>
          <w:tblHeader/>
        </w:trPr>
        <w:tc>
          <w:tcPr>
            <w:tcW w:w="1260" w:type="dxa"/>
            <w:vMerge w:val="restart"/>
            <w:tcBorders>
              <w:top w:val="single" w:color="000000" w:sz="4" w:space="0"/>
              <w:left w:val="single" w:color="000000" w:sz="4" w:space="0"/>
              <w:bottom w:val="single" w:color="000000" w:sz="4" w:space="0"/>
            </w:tcBorders>
            <w:shd w:val="clear" w:color="auto" w:fill="auto"/>
            <w:noWrap w:val="0"/>
            <w:vAlign w:val="center"/>
          </w:tcPr>
          <w:p>
            <w:pPr>
              <w:jc w:val="center"/>
            </w:pPr>
            <w:r>
              <w:rPr>
                <w:sz w:val="20"/>
                <w:szCs w:val="20"/>
              </w:rPr>
              <w:t>Статус</w:t>
            </w:r>
          </w:p>
        </w:tc>
        <w:tc>
          <w:tcPr>
            <w:tcW w:w="2026" w:type="dxa"/>
            <w:vMerge w:val="restart"/>
            <w:tcBorders>
              <w:top w:val="single" w:color="000000" w:sz="4" w:space="0"/>
              <w:left w:val="single" w:color="000000" w:sz="4" w:space="0"/>
              <w:bottom w:val="single" w:color="000000" w:sz="4" w:space="0"/>
            </w:tcBorders>
            <w:shd w:val="clear" w:color="auto" w:fill="auto"/>
            <w:noWrap w:val="0"/>
            <w:vAlign w:val="center"/>
          </w:tcPr>
          <w:p>
            <w:pPr>
              <w:tabs>
                <w:tab w:val="left" w:pos="1452"/>
              </w:tabs>
              <w:ind w:left="-57" w:right="-57"/>
              <w:jc w:val="center"/>
            </w:pPr>
            <w:r>
              <w:rPr>
                <w:sz w:val="20"/>
                <w:szCs w:val="20"/>
              </w:rPr>
              <w:t>Наименование муниципальной программы, подпрограммы муниципальной программы</w:t>
            </w:r>
          </w:p>
        </w:tc>
        <w:tc>
          <w:tcPr>
            <w:tcW w:w="2224" w:type="dxa"/>
            <w:gridSpan w:val="4"/>
            <w:tcBorders>
              <w:top w:val="single" w:color="000000" w:sz="4" w:space="0"/>
              <w:left w:val="single" w:color="000000" w:sz="4" w:space="0"/>
              <w:bottom w:val="single" w:color="000000" w:sz="4" w:space="0"/>
            </w:tcBorders>
            <w:shd w:val="clear" w:color="auto" w:fill="auto"/>
            <w:noWrap w:val="0"/>
            <w:vAlign w:val="center"/>
          </w:tcPr>
          <w:p>
            <w:pPr>
              <w:jc w:val="center"/>
            </w:pPr>
            <w:r>
              <w:rPr>
                <w:sz w:val="20"/>
                <w:szCs w:val="20"/>
              </w:rPr>
              <w:t>Код бюджетной классификации</w:t>
            </w:r>
          </w:p>
        </w:tc>
        <w:tc>
          <w:tcPr>
            <w:tcW w:w="4049"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pPr>
            <w:r>
              <w:rPr>
                <w:sz w:val="20"/>
                <w:szCs w:val="20"/>
              </w:rPr>
              <w:t>Расходы бюджета (тыс. руб.)</w:t>
            </w:r>
          </w:p>
        </w:tc>
      </w:tr>
      <w:tr>
        <w:tblPrEx>
          <w:tblCellMar>
            <w:top w:w="0" w:type="dxa"/>
            <w:left w:w="108" w:type="dxa"/>
            <w:bottom w:w="0" w:type="dxa"/>
            <w:right w:w="108" w:type="dxa"/>
          </w:tblCellMar>
        </w:tblPrEx>
        <w:trPr>
          <w:wBefore w:w="0" w:type="auto"/>
          <w:trHeight w:val="23" w:hRule="atLeast"/>
          <w:tblHeader/>
        </w:trPr>
        <w:tc>
          <w:tcPr>
            <w:tcW w:w="1260" w:type="dxa"/>
            <w:vMerge w:val="continue"/>
            <w:tcBorders>
              <w:top w:val="single" w:color="000000" w:sz="4" w:space="0"/>
              <w:left w:val="single" w:color="000000" w:sz="4" w:space="0"/>
              <w:bottom w:val="single" w:color="000000" w:sz="4" w:space="0"/>
            </w:tcBorders>
            <w:shd w:val="clear" w:color="auto" w:fill="auto"/>
            <w:noWrap w:val="0"/>
            <w:vAlign w:val="center"/>
          </w:tcPr>
          <w:p>
            <w:pPr>
              <w:snapToGrid w:val="0"/>
              <w:rPr>
                <w:b/>
                <w:sz w:val="20"/>
                <w:szCs w:val="20"/>
              </w:rPr>
            </w:pPr>
          </w:p>
        </w:tc>
        <w:tc>
          <w:tcPr>
            <w:tcW w:w="2026" w:type="dxa"/>
            <w:vMerge w:val="continue"/>
            <w:tcBorders>
              <w:top w:val="single" w:color="000000" w:sz="4" w:space="0"/>
              <w:left w:val="single" w:color="000000" w:sz="4" w:space="0"/>
              <w:bottom w:val="single" w:color="000000" w:sz="4" w:space="0"/>
            </w:tcBorders>
            <w:shd w:val="clear" w:color="auto" w:fill="auto"/>
            <w:noWrap w:val="0"/>
            <w:vAlign w:val="center"/>
          </w:tcPr>
          <w:p>
            <w:pPr>
              <w:snapToGrid w:val="0"/>
              <w:rPr>
                <w:b/>
                <w:sz w:val="20"/>
                <w:szCs w:val="20"/>
              </w:rPr>
            </w:pP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ГРБС</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РзПр</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ЦСР</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ВР</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2021</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2022</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2023</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2024</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2025</w:t>
            </w:r>
          </w:p>
        </w:tc>
        <w:tc>
          <w:tcPr>
            <w:tcW w:w="556" w:type="dxa"/>
            <w:tcBorders>
              <w:top w:val="single" w:color="000000" w:sz="4" w:space="0"/>
              <w:left w:val="single" w:color="000000" w:sz="4" w:space="0"/>
              <w:bottom w:val="single" w:color="000000" w:sz="4" w:space="0"/>
            </w:tcBorders>
            <w:shd w:val="clear" w:color="auto" w:fill="auto"/>
            <w:noWrap w:val="0"/>
            <w:vAlign w:val="top"/>
          </w:tcPr>
          <w:p>
            <w:pPr>
              <w:jc w:val="center"/>
            </w:pPr>
            <w:r>
              <w:rPr>
                <w:sz w:val="20"/>
                <w:szCs w:val="20"/>
              </w:rPr>
              <w:t>2026</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pPr>
            <w:r>
              <w:rPr>
                <w:sz w:val="20"/>
                <w:szCs w:val="20"/>
              </w:rPr>
              <w:t>2027</w:t>
            </w:r>
          </w:p>
        </w:tc>
      </w:tr>
      <w:tr>
        <w:tblPrEx>
          <w:tblCellMar>
            <w:top w:w="0" w:type="dxa"/>
            <w:left w:w="0" w:type="dxa"/>
            <w:bottom w:w="0" w:type="dxa"/>
            <w:right w:w="0" w:type="dxa"/>
          </w:tblCellMar>
        </w:tblPrEx>
        <w:trPr>
          <w:wBefore w:w="0" w:type="auto"/>
          <w:trHeight w:val="23" w:hRule="atLeast"/>
        </w:trPr>
        <w:tc>
          <w:tcPr>
            <w:tcW w:w="3286" w:type="dxa"/>
            <w:gridSpan w:val="2"/>
            <w:tcBorders>
              <w:top w:val="single" w:color="000000" w:sz="4" w:space="0"/>
              <w:left w:val="single" w:color="000000" w:sz="4" w:space="0"/>
              <w:bottom w:val="single" w:color="000000" w:sz="4" w:space="0"/>
            </w:tcBorders>
            <w:shd w:val="clear" w:color="auto" w:fill="auto"/>
            <w:noWrap w:val="0"/>
            <w:vAlign w:val="top"/>
          </w:tcPr>
          <w:p>
            <w:r>
              <w:rPr>
                <w:sz w:val="20"/>
                <w:szCs w:val="20"/>
              </w:rPr>
              <w:t xml:space="preserve">Муниципальная программа </w:t>
            </w:r>
            <w:r>
              <w:rPr>
                <w:bCs/>
                <w:sz w:val="20"/>
                <w:szCs w:val="20"/>
              </w:rPr>
              <w:t>«Обеспечение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pPr>
            <w:r>
              <w:rPr>
                <w:sz w:val="20"/>
                <w:szCs w:val="20"/>
              </w:rPr>
              <w:t>0</w:t>
            </w:r>
          </w:p>
        </w:tc>
      </w:tr>
      <w:tr>
        <w:tblPrEx>
          <w:tblCellMar>
            <w:top w:w="0" w:type="dxa"/>
            <w:left w:w="108" w:type="dxa"/>
            <w:bottom w:w="0" w:type="dxa"/>
            <w:right w:w="108" w:type="dxa"/>
          </w:tblCellMar>
        </w:tblPrEx>
        <w:trPr>
          <w:wBefore w:w="0" w:type="auto"/>
          <w:trHeight w:val="23" w:hRule="atLeast"/>
        </w:trPr>
        <w:tc>
          <w:tcPr>
            <w:tcW w:w="1260" w:type="dxa"/>
            <w:vMerge w:val="restart"/>
            <w:tcBorders>
              <w:top w:val="single" w:color="000000" w:sz="4" w:space="0"/>
              <w:left w:val="single" w:color="000000" w:sz="4" w:space="0"/>
              <w:bottom w:val="single" w:color="000000" w:sz="4" w:space="0"/>
            </w:tcBorders>
            <w:shd w:val="clear" w:color="auto" w:fill="auto"/>
            <w:noWrap w:val="0"/>
            <w:vAlign w:val="top"/>
          </w:tcPr>
          <w:p>
            <w:pPr>
              <w:widowControl w:val="0"/>
              <w:jc w:val="both"/>
            </w:pPr>
            <w:r>
              <w:rPr>
                <w:sz w:val="20"/>
                <w:szCs w:val="20"/>
              </w:rPr>
              <w:t>Подпрограмма 1.</w:t>
            </w:r>
          </w:p>
        </w:tc>
        <w:tc>
          <w:tcPr>
            <w:tcW w:w="2026" w:type="dxa"/>
            <w:vMerge w:val="restart"/>
            <w:tcBorders>
              <w:top w:val="single" w:color="000000" w:sz="4" w:space="0"/>
              <w:left w:val="single" w:color="000000" w:sz="4" w:space="0"/>
              <w:bottom w:val="single" w:color="000000" w:sz="4" w:space="0"/>
            </w:tcBorders>
            <w:shd w:val="clear" w:color="auto" w:fill="auto"/>
            <w:noWrap w:val="0"/>
            <w:vAlign w:val="top"/>
          </w:tcPr>
          <w:p>
            <w:pPr>
              <w:pStyle w:val="52"/>
              <w:jc w:val="center"/>
            </w:pPr>
            <w:r>
              <w:rPr>
                <w:color w:val="auto"/>
                <w:sz w:val="20"/>
                <w:szCs w:val="20"/>
              </w:rPr>
              <w:t>«Развитие коммунальной инфраструктуры  в Богородском муниципальном округе Нижегородск</w:t>
            </w:r>
            <w:r>
              <w:rPr>
                <w:color w:val="auto"/>
                <w:sz w:val="22"/>
                <w:szCs w:val="22"/>
              </w:rPr>
              <w:t>о</w:t>
            </w:r>
            <w:r>
              <w:rPr>
                <w:color w:val="auto"/>
                <w:sz w:val="20"/>
                <w:szCs w:val="20"/>
              </w:rPr>
              <w:t>й области»</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pPr>
            <w:r>
              <w:rPr>
                <w:sz w:val="20"/>
                <w:szCs w:val="20"/>
              </w:rPr>
              <w:t>0</w:t>
            </w:r>
          </w:p>
        </w:tc>
      </w:tr>
      <w:tr>
        <w:tblPrEx>
          <w:tblCellMar>
            <w:top w:w="0" w:type="dxa"/>
            <w:left w:w="108" w:type="dxa"/>
            <w:bottom w:w="0" w:type="dxa"/>
            <w:right w:w="108" w:type="dxa"/>
          </w:tblCellMar>
        </w:tblPrEx>
        <w:trPr>
          <w:wBefore w:w="0" w:type="auto"/>
          <w:trHeight w:val="23" w:hRule="atLeast"/>
        </w:trPr>
        <w:tc>
          <w:tcPr>
            <w:tcW w:w="1260" w:type="dxa"/>
            <w:vMerge w:val="continue"/>
            <w:tcBorders>
              <w:top w:val="single" w:color="000000" w:sz="4" w:space="0"/>
              <w:left w:val="single" w:color="000000" w:sz="4" w:space="0"/>
              <w:bottom w:val="single" w:color="000000" w:sz="4" w:space="0"/>
            </w:tcBorders>
            <w:shd w:val="clear" w:color="auto" w:fill="auto"/>
            <w:noWrap w:val="0"/>
            <w:vAlign w:val="top"/>
          </w:tcPr>
          <w:p>
            <w:pPr>
              <w:widowControl w:val="0"/>
              <w:snapToGrid w:val="0"/>
              <w:jc w:val="both"/>
              <w:rPr>
                <w:sz w:val="20"/>
                <w:szCs w:val="20"/>
              </w:rPr>
            </w:pPr>
          </w:p>
        </w:tc>
        <w:tc>
          <w:tcPr>
            <w:tcW w:w="2026"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20"/>
                <w:szCs w:val="20"/>
              </w:rPr>
            </w:pP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pPr>
            <w:r>
              <w:rPr>
                <w:sz w:val="20"/>
                <w:szCs w:val="20"/>
              </w:rPr>
              <w:t>0</w:t>
            </w:r>
          </w:p>
        </w:tc>
      </w:tr>
      <w:tr>
        <w:tblPrEx>
          <w:tblCellMar>
            <w:top w:w="0" w:type="dxa"/>
            <w:left w:w="108" w:type="dxa"/>
            <w:bottom w:w="0" w:type="dxa"/>
            <w:right w:w="108" w:type="dxa"/>
          </w:tblCellMar>
        </w:tblPrEx>
        <w:trPr>
          <w:wBefore w:w="0" w:type="auto"/>
          <w:trHeight w:val="23" w:hRule="atLeast"/>
        </w:trPr>
        <w:tc>
          <w:tcPr>
            <w:tcW w:w="1260" w:type="dxa"/>
            <w:vMerge w:val="continue"/>
            <w:tcBorders>
              <w:top w:val="single" w:color="000000" w:sz="4" w:space="0"/>
              <w:left w:val="single" w:color="000000" w:sz="4" w:space="0"/>
              <w:bottom w:val="single" w:color="000000" w:sz="4" w:space="0"/>
            </w:tcBorders>
            <w:shd w:val="clear" w:color="auto" w:fill="auto"/>
            <w:noWrap w:val="0"/>
            <w:vAlign w:val="top"/>
          </w:tcPr>
          <w:p>
            <w:pPr>
              <w:widowControl w:val="0"/>
              <w:snapToGrid w:val="0"/>
              <w:jc w:val="both"/>
              <w:rPr>
                <w:sz w:val="20"/>
                <w:szCs w:val="20"/>
              </w:rPr>
            </w:pPr>
          </w:p>
        </w:tc>
        <w:tc>
          <w:tcPr>
            <w:tcW w:w="2026" w:type="dxa"/>
            <w:vMerge w:val="continue"/>
            <w:tcBorders>
              <w:top w:val="single" w:color="000000" w:sz="4" w:space="0"/>
              <w:left w:val="single" w:color="000000" w:sz="4" w:space="0"/>
              <w:bottom w:val="single" w:color="000000" w:sz="4" w:space="0"/>
            </w:tcBorders>
            <w:shd w:val="clear" w:color="auto" w:fill="auto"/>
            <w:noWrap w:val="0"/>
            <w:vAlign w:val="top"/>
          </w:tcPr>
          <w:p>
            <w:pPr>
              <w:snapToGrid w:val="0"/>
              <w:rPr>
                <w:sz w:val="20"/>
                <w:szCs w:val="20"/>
              </w:rPr>
            </w:pP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556" w:type="dxa"/>
            <w:tcBorders>
              <w:top w:val="single" w:color="000000" w:sz="4" w:space="0"/>
              <w:left w:val="single" w:color="000000" w:sz="4" w:space="0"/>
              <w:bottom w:val="single" w:color="000000" w:sz="4" w:space="0"/>
            </w:tcBorders>
            <w:shd w:val="clear" w:color="auto" w:fill="auto"/>
            <w:noWrap w:val="0"/>
            <w:vAlign w:val="center"/>
          </w:tcPr>
          <w:p>
            <w:pPr>
              <w:snapToGrid w:val="0"/>
              <w:jc w:val="center"/>
            </w:pPr>
            <w:r>
              <w:rPr>
                <w:sz w:val="20"/>
                <w:szCs w:val="20"/>
              </w:rPr>
              <w:t>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napToGrid w:val="0"/>
              <w:jc w:val="center"/>
            </w:pPr>
            <w:r>
              <w:rPr>
                <w:sz w:val="20"/>
                <w:szCs w:val="20"/>
              </w:rPr>
              <w:t>0</w:t>
            </w:r>
          </w:p>
        </w:tc>
      </w:tr>
      <w:tr>
        <w:tblPrEx>
          <w:tblCellMar>
            <w:top w:w="0" w:type="dxa"/>
            <w:left w:w="108" w:type="dxa"/>
            <w:bottom w:w="0" w:type="dxa"/>
            <w:right w:w="108" w:type="dxa"/>
          </w:tblCellMar>
        </w:tblPrEx>
        <w:trPr>
          <w:wBefore w:w="0" w:type="auto"/>
          <w:trHeight w:val="23" w:hRule="atLeast"/>
        </w:trPr>
        <w:tc>
          <w:tcPr>
            <w:tcW w:w="1260" w:type="dxa"/>
            <w:tcBorders>
              <w:left w:val="single" w:color="000000" w:sz="4" w:space="0"/>
              <w:bottom w:val="single" w:color="000000" w:sz="4" w:space="0"/>
            </w:tcBorders>
            <w:shd w:val="clear" w:color="auto" w:fill="auto"/>
            <w:noWrap w:val="0"/>
            <w:vAlign w:val="top"/>
          </w:tcPr>
          <w:p>
            <w:r>
              <w:rPr>
                <w:sz w:val="20"/>
                <w:szCs w:val="20"/>
              </w:rPr>
              <w:t>Подпрограмма 2</w:t>
            </w:r>
          </w:p>
        </w:tc>
        <w:tc>
          <w:tcPr>
            <w:tcW w:w="2026"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 xml:space="preserve">«Капитальный ремонт общего имущества  в многоквартирных домах» </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713" w:type="dxa"/>
            <w:tcBorders>
              <w:left w:val="single" w:color="000000" w:sz="4" w:space="0"/>
              <w:bottom w:val="single" w:color="000000" w:sz="4" w:space="0"/>
              <w:right w:val="single" w:color="000000" w:sz="4" w:space="0"/>
            </w:tcBorders>
            <w:shd w:val="clear" w:color="auto" w:fill="auto"/>
            <w:noWrap w:val="0"/>
            <w:vAlign w:val="top"/>
          </w:tcPr>
          <w:p>
            <w:pPr>
              <w:snapToGrid w:val="0"/>
              <w:jc w:val="center"/>
            </w:pPr>
            <w:r>
              <w:rPr>
                <w:sz w:val="20"/>
                <w:szCs w:val="20"/>
              </w:rPr>
              <w:t>0</w:t>
            </w:r>
          </w:p>
        </w:tc>
      </w:tr>
      <w:tr>
        <w:tblPrEx>
          <w:tblCellMar>
            <w:top w:w="0" w:type="dxa"/>
            <w:left w:w="108" w:type="dxa"/>
            <w:bottom w:w="0" w:type="dxa"/>
            <w:right w:w="108" w:type="dxa"/>
          </w:tblCellMar>
        </w:tblPrEx>
        <w:trPr>
          <w:wBefore w:w="0" w:type="auto"/>
          <w:trHeight w:val="23" w:hRule="atLeast"/>
        </w:trPr>
        <w:tc>
          <w:tcPr>
            <w:tcW w:w="1260" w:type="dxa"/>
            <w:tcBorders>
              <w:left w:val="single" w:color="000000" w:sz="4" w:space="0"/>
              <w:bottom w:val="single" w:color="000000" w:sz="4" w:space="0"/>
            </w:tcBorders>
            <w:shd w:val="clear" w:color="auto" w:fill="auto"/>
            <w:noWrap w:val="0"/>
            <w:vAlign w:val="top"/>
          </w:tcPr>
          <w:p>
            <w:r>
              <w:rPr>
                <w:sz w:val="20"/>
                <w:szCs w:val="20"/>
              </w:rPr>
              <w:t>Подпрограмма 3</w:t>
            </w:r>
          </w:p>
        </w:tc>
        <w:tc>
          <w:tcPr>
            <w:tcW w:w="2026" w:type="dxa"/>
            <w:tcBorders>
              <w:left w:val="single" w:color="000000" w:sz="4" w:space="0"/>
              <w:bottom w:val="single" w:color="000000" w:sz="4" w:space="0"/>
            </w:tcBorders>
            <w:shd w:val="clear" w:color="auto" w:fill="auto"/>
            <w:noWrap w:val="0"/>
            <w:vAlign w:val="top"/>
          </w:tcPr>
          <w:p>
            <w:pPr>
              <w:pStyle w:val="52"/>
              <w:snapToGrid w:val="0"/>
              <w:jc w:val="center"/>
            </w:pPr>
            <w:r>
              <w:rPr>
                <w:color w:val="auto"/>
                <w:sz w:val="20"/>
                <w:szCs w:val="20"/>
              </w:rPr>
              <w:t>«Экология»</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jc w:val="center"/>
            </w:pPr>
            <w:r>
              <w:rPr>
                <w:sz w:val="20"/>
                <w:szCs w:val="20"/>
              </w:rPr>
              <w:t>0</w:t>
            </w:r>
          </w:p>
        </w:tc>
        <w:tc>
          <w:tcPr>
            <w:tcW w:w="556" w:type="dxa"/>
            <w:tcBorders>
              <w:left w:val="single" w:color="000000" w:sz="4" w:space="0"/>
              <w:bottom w:val="single" w:color="000000" w:sz="4" w:space="0"/>
            </w:tcBorders>
            <w:shd w:val="clear" w:color="auto" w:fill="auto"/>
            <w:noWrap w:val="0"/>
            <w:vAlign w:val="top"/>
          </w:tcPr>
          <w:p>
            <w:pPr>
              <w:snapToGrid w:val="0"/>
            </w:pPr>
            <w:r>
              <w:rPr>
                <w:sz w:val="20"/>
                <w:szCs w:val="20"/>
              </w:rPr>
              <w:t>0</w:t>
            </w:r>
          </w:p>
        </w:tc>
        <w:tc>
          <w:tcPr>
            <w:tcW w:w="713" w:type="dxa"/>
            <w:tcBorders>
              <w:left w:val="single" w:color="000000" w:sz="4" w:space="0"/>
              <w:bottom w:val="single" w:color="000000" w:sz="4" w:space="0"/>
              <w:right w:val="single" w:color="000000" w:sz="4" w:space="0"/>
            </w:tcBorders>
            <w:shd w:val="clear" w:color="auto" w:fill="auto"/>
            <w:noWrap w:val="0"/>
            <w:vAlign w:val="top"/>
          </w:tcPr>
          <w:p>
            <w:pPr>
              <w:snapToGrid w:val="0"/>
              <w:jc w:val="center"/>
            </w:pPr>
            <w:r>
              <w:rPr>
                <w:sz w:val="20"/>
                <w:szCs w:val="20"/>
              </w:rPr>
              <w:t>0</w:t>
            </w:r>
          </w:p>
        </w:tc>
      </w:tr>
    </w:tbl>
    <w:p>
      <w:pPr>
        <w:pStyle w:val="13"/>
        <w:ind w:left="5220" w:hanging="5220"/>
        <w:jc w:val="center"/>
      </w:pPr>
      <w:r>
        <w:rPr>
          <w:sz w:val="28"/>
          <w:szCs w:val="28"/>
        </w:rPr>
        <w:t>___________________».</w:t>
      </w:r>
    </w:p>
    <w:sectPr>
      <w:headerReference r:id="rId38" w:type="first"/>
      <w:footerReference r:id="rId41" w:type="first"/>
      <w:headerReference r:id="rId36" w:type="default"/>
      <w:footerReference r:id="rId39" w:type="default"/>
      <w:headerReference r:id="rId37" w:type="even"/>
      <w:footerReference r:id="rId40" w:type="even"/>
      <w:pgSz w:w="11906" w:h="16838"/>
      <w:pgMar w:top="1134" w:right="851" w:bottom="1134" w:left="1701" w:header="284" w:footer="284"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Arial Unicode MS">
    <w:altName w:val="Arial"/>
    <w:panose1 w:val="020B0604020202020204"/>
    <w:charset w:val="80"/>
    <w:family w:val="swiss"/>
    <w:pitch w:val="default"/>
    <w:sig w:usb0="F7FFAFFF" w:usb1="E9DFFFFF" w:usb2="0000003F" w:usb3="00000000" w:csb0="003F01FF" w:csb1="0000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0" distR="0" simplePos="0" relativeHeight="251659264" behindDoc="0" locked="0" layoutInCell="1" allowOverlap="1">
              <wp:simplePos x="0" y="0"/>
              <wp:positionH relativeFrom="page">
                <wp:posOffset>6480175</wp:posOffset>
              </wp:positionH>
              <wp:positionV relativeFrom="paragraph">
                <wp:posOffset>635</wp:posOffset>
              </wp:positionV>
              <wp:extent cx="22860" cy="170180"/>
              <wp:effectExtent l="0" t="0" r="15240" b="1270"/>
              <wp:wrapSquare wrapText="largest"/>
              <wp:docPr id="1" name="Надпись 1"/>
              <wp:cNvGraphicFramePr/>
              <a:graphic xmlns:a="http://schemas.openxmlformats.org/drawingml/2006/main">
                <a:graphicData uri="http://schemas.microsoft.com/office/word/2010/wordprocessingShape">
                  <wps:wsp>
                    <wps:cNvSpPr txBox="1"/>
                    <wps:spPr>
                      <a:xfrm>
                        <a:off x="0" y="0"/>
                        <a:ext cx="22860" cy="170180"/>
                      </a:xfrm>
                      <a:prstGeom prst="rect">
                        <a:avLst/>
                      </a:prstGeom>
                      <a:solidFill>
                        <a:srgbClr val="FFFFFF"/>
                      </a:solidFill>
                      <a:ln>
                        <a:noFill/>
                      </a:ln>
                    </wps:spPr>
                    <wps:txbx>
                      <w:txbxContent>
                        <w:p>
                          <w:pPr>
                            <w:pStyle w:val="13"/>
                          </w:pPr>
                        </w:p>
                      </w:txbxContent>
                    </wps:txbx>
                    <wps:bodyPr wrap="square" lIns="4445" tIns="4445" rIns="4445" bIns="4445" upright="1"/>
                  </wps:wsp>
                </a:graphicData>
              </a:graphic>
            </wp:anchor>
          </w:drawing>
        </mc:Choice>
        <mc:Fallback>
          <w:pict>
            <v:shape id="Надпись 1" o:spid="_x0000_s1026" o:spt="202" type="#_x0000_t202" style="position:absolute;left:0pt;margin-left:510.25pt;margin-top:0.05pt;height:13.4pt;width:1.8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YUfEtUAAAAJAQAA&#10;DwAAAAAAAAABACAAAAAiAAAAZHJzL2Rvd25yZXYueG1sUEsBAhQAFAAAAAgAh07iQDO55JjjAQAA&#10;uAMAAA4AAAAAAAAAAQAgAAAAJAEAAGRycy9lMm9Eb2MueG1sUEsFBgAAAAAGAAYAWQEAAHkFAAAA&#10;AA==&#10;">
              <v:fill on="t" focussize="0,0"/>
              <v:stroke on="f"/>
              <v:imagedata o:title=""/>
              <o:lock v:ext="edit" aspectratio="f"/>
              <v:textbox inset="0.35pt,0.35pt,0.35pt,0.35pt">
                <w:txbxContent>
                  <w:p>
                    <w:pPr>
                      <w:pStyle w:val="13"/>
                    </w:pPr>
                  </w:p>
                </w:txbxContent>
              </v:textbox>
              <w10:wrap type="square" side="largest"/>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0" distR="0" simplePos="0" relativeHeight="251662336" behindDoc="0" locked="0" layoutInCell="1" allowOverlap="1">
              <wp:simplePos x="0" y="0"/>
              <wp:positionH relativeFrom="page">
                <wp:posOffset>7019925</wp:posOffset>
              </wp:positionH>
              <wp:positionV relativeFrom="paragraph">
                <wp:posOffset>635</wp:posOffset>
              </wp:positionV>
              <wp:extent cx="26670" cy="168275"/>
              <wp:effectExtent l="0" t="0" r="11430" b="3175"/>
              <wp:wrapSquare wrapText="largest"/>
              <wp:docPr id="4" name="Надпись 7"/>
              <wp:cNvGraphicFramePr/>
              <a:graphic xmlns:a="http://schemas.openxmlformats.org/drawingml/2006/main">
                <a:graphicData uri="http://schemas.microsoft.com/office/word/2010/wordprocessingShape">
                  <wps:wsp>
                    <wps:cNvSpPr txBox="1"/>
                    <wps:spPr>
                      <a:xfrm>
                        <a:off x="0" y="0"/>
                        <a:ext cx="26670" cy="168275"/>
                      </a:xfrm>
                      <a:prstGeom prst="rect">
                        <a:avLst/>
                      </a:prstGeom>
                      <a:solidFill>
                        <a:srgbClr val="FFFFFF"/>
                      </a:solidFill>
                      <a:ln>
                        <a:noFill/>
                      </a:ln>
                    </wps:spPr>
                    <wps:txbx>
                      <w:txbxContent>
                        <w:p>
                          <w:pPr>
                            <w:pStyle w:val="13"/>
                          </w:pPr>
                        </w:p>
                      </w:txbxContent>
                    </wps:txbx>
                    <wps:bodyPr wrap="square" lIns="6350" tIns="6350" rIns="6350" bIns="6350" upright="1"/>
                  </wps:wsp>
                </a:graphicData>
              </a:graphic>
            </wp:anchor>
          </w:drawing>
        </mc:Choice>
        <mc:Fallback>
          <w:pict>
            <v:shape id="Надпись 7" o:spid="_x0000_s1026" o:spt="202" type="#_x0000_t202" style="position:absolute;left:0pt;margin-left:552.75pt;margin-top:0.05pt;height:13.25pt;width:2.1pt;mso-position-horizontal-relative:page;mso-wrap-distance-bottom:0pt;mso-wrap-distance-left:0pt;mso-wrap-distance-right:0pt;mso-wrap-distance-top:0pt;z-index:251662336;mso-width-relative:page;mso-height-relative:page;" fillcolor="#FFFFFF" filled="t" stroked="f" coordsize="21600,21600" o:gfxdata="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I+6UtMAAAAJAQAADwAA&#10;AAAAAAABACAAAAAiAAAAZHJzL2Rvd25yZXYueG1sUEsBAhQAFAAAAAgAh07iQIJVS0XiAQAAuAMA&#10;AA4AAAAAAAAAAQAgAAAAIgEAAGRycy9lMm9Eb2MueG1sUEsFBgAAAAAGAAYAWQEAAHYFAAAAAA==&#10;">
              <v:fill on="t" focussize="0,0"/>
              <v:stroke on="f"/>
              <v:imagedata o:title=""/>
              <o:lock v:ext="edit" aspectratio="f"/>
              <v:textbox inset="0.5pt,0.5pt,0.5pt,0.5pt">
                <w:txbxContent>
                  <w:p>
                    <w:pPr>
                      <w:pStyle w:val="13"/>
                    </w:pPr>
                  </w:p>
                </w:txbxContent>
              </v:textbox>
              <w10:wrap type="square" side="largest"/>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0" distR="0" simplePos="0" relativeHeight="251665408" behindDoc="0" locked="0" layoutInCell="1" allowOverlap="1">
              <wp:simplePos x="0" y="0"/>
              <wp:positionH relativeFrom="page">
                <wp:posOffset>7019925</wp:posOffset>
              </wp:positionH>
              <wp:positionV relativeFrom="paragraph">
                <wp:posOffset>635</wp:posOffset>
              </wp:positionV>
              <wp:extent cx="22860" cy="170180"/>
              <wp:effectExtent l="0" t="0" r="15240" b="1270"/>
              <wp:wrapSquare wrapText="largest"/>
              <wp:docPr id="7" name="Надпись 11"/>
              <wp:cNvGraphicFramePr/>
              <a:graphic xmlns:a="http://schemas.openxmlformats.org/drawingml/2006/main">
                <a:graphicData uri="http://schemas.microsoft.com/office/word/2010/wordprocessingShape">
                  <wps:wsp>
                    <wps:cNvSpPr txBox="1"/>
                    <wps:spPr>
                      <a:xfrm>
                        <a:off x="0" y="0"/>
                        <a:ext cx="22860" cy="170180"/>
                      </a:xfrm>
                      <a:prstGeom prst="rect">
                        <a:avLst/>
                      </a:prstGeom>
                      <a:solidFill>
                        <a:srgbClr val="FFFFFF"/>
                      </a:solidFill>
                      <a:ln>
                        <a:noFill/>
                      </a:ln>
                    </wps:spPr>
                    <wps:txbx>
                      <w:txbxContent>
                        <w:p>
                          <w:pPr>
                            <w:pStyle w:val="13"/>
                          </w:pPr>
                        </w:p>
                      </w:txbxContent>
                    </wps:txbx>
                    <wps:bodyPr wrap="square" lIns="4445" tIns="4445" rIns="4445" bIns="4445" upright="1"/>
                  </wps:wsp>
                </a:graphicData>
              </a:graphic>
            </wp:anchor>
          </w:drawing>
        </mc:Choice>
        <mc:Fallback>
          <w:pict>
            <v:shape id="Надпись 11" o:spid="_x0000_s1026" o:spt="202" type="#_x0000_t202" style="position:absolute;left:0pt;margin-left:552.75pt;margin-top:0.05pt;height:13.4pt;width:1.8pt;mso-position-horizontal-relative:page;mso-wrap-distance-bottom:0pt;mso-wrap-distance-left:0pt;mso-wrap-distance-right:0pt;mso-wrap-distance-top:0pt;z-index:251665408;mso-width-relative:page;mso-height-relative:page;" fillcolor="#FFFFFF" filled="t" stroked="f" coordsize="21600,21600" o:gfxdata="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IaGD1QAAAAkB&#10;AAAPAAAAAAAAAAEAIAAAACIAAABkcnMvZG93bnJldi54bWxQSwECFAAUAAAACACHTuJAkXFpiuUB&#10;AAC5AwAADgAAAAAAAAABACAAAAAkAQAAZHJzL2Uyb0RvYy54bWxQSwUGAAAAAAYABgBZAQAAewUA&#10;AAAA&#10;">
              <v:fill on="t" focussize="0,0"/>
              <v:stroke on="f"/>
              <v:imagedata o:title=""/>
              <o:lock v:ext="edit" aspectratio="f"/>
              <v:textbox inset="0.35pt,0.35pt,0.35pt,0.35pt">
                <w:txbxContent>
                  <w:p>
                    <w:pPr>
                      <w:pStyle w:val="13"/>
                    </w:pPr>
                  </w:p>
                </w:txbxContent>
              </v:textbox>
              <w10:wrap type="square" side="largest"/>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0" distR="0" simplePos="0" relativeHeight="251660288" behindDoc="0" locked="0" layoutInCell="1" allowOverlap="1">
              <wp:simplePos x="0" y="0"/>
              <wp:positionH relativeFrom="page">
                <wp:posOffset>7019925</wp:posOffset>
              </wp:positionH>
              <wp:positionV relativeFrom="paragraph">
                <wp:posOffset>635</wp:posOffset>
              </wp:positionV>
              <wp:extent cx="26670" cy="168275"/>
              <wp:effectExtent l="0" t="0" r="11430" b="3175"/>
              <wp:wrapSquare wrapText="largest"/>
              <wp:docPr id="2" name="Надпись 3"/>
              <wp:cNvGraphicFramePr/>
              <a:graphic xmlns:a="http://schemas.openxmlformats.org/drawingml/2006/main">
                <a:graphicData uri="http://schemas.microsoft.com/office/word/2010/wordprocessingShape">
                  <wps:wsp>
                    <wps:cNvSpPr txBox="1"/>
                    <wps:spPr>
                      <a:xfrm>
                        <a:off x="0" y="0"/>
                        <a:ext cx="26670" cy="168275"/>
                      </a:xfrm>
                      <a:prstGeom prst="rect">
                        <a:avLst/>
                      </a:prstGeom>
                      <a:solidFill>
                        <a:srgbClr val="FFFFFF"/>
                      </a:solidFill>
                      <a:ln>
                        <a:noFill/>
                      </a:ln>
                    </wps:spPr>
                    <wps:txbx>
                      <w:txbxContent>
                        <w:p>
                          <w:pPr>
                            <w:pStyle w:val="13"/>
                          </w:pPr>
                        </w:p>
                      </w:txbxContent>
                    </wps:txbx>
                    <wps:bodyPr wrap="square" lIns="6350" tIns="6350" rIns="6350" bIns="6350" upright="1"/>
                  </wps:wsp>
                </a:graphicData>
              </a:graphic>
            </wp:anchor>
          </w:drawing>
        </mc:Choice>
        <mc:Fallback>
          <w:pict>
            <v:shape id="Надпись 3" o:spid="_x0000_s1026" o:spt="202" type="#_x0000_t202" style="position:absolute;left:0pt;margin-left:552.75pt;margin-top:0.05pt;height:13.25pt;width:2.1pt;mso-position-horizontal-relative:page;mso-wrap-distance-bottom:0pt;mso-wrap-distance-left:0pt;mso-wrap-distance-right:0pt;mso-wrap-distance-top:0pt;z-index:251660288;mso-width-relative:page;mso-height-relative:page;" fillcolor="#FFFFFF" filled="t" stroked="f" coordsize="21600,21600" o:gfxdata="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I+6UtMAAAAJAQAADwAA&#10;AAAAAAABACAAAAAiAAAAZHJzL2Rvd25yZXYueG1sUEsBAhQAFAAAAAgAh07iQOzqia3iAQAAuAMA&#10;AA4AAAAAAAAAAQAgAAAAIgEAAGRycy9lMm9Eb2MueG1sUEsFBgAAAAAGAAYAWQEAAHYFAAAAAA==&#10;">
              <v:fill on="t" focussize="0,0"/>
              <v:stroke on="f"/>
              <v:imagedata o:title=""/>
              <o:lock v:ext="edit" aspectratio="f"/>
              <v:textbox inset="0.5pt,0.5pt,0.5pt,0.5pt">
                <w:txbxContent>
                  <w:p>
                    <w:pPr>
                      <w:pStyle w:val="13"/>
                    </w:pPr>
                  </w:p>
                </w:txbxContent>
              </v:textbox>
              <w10:wrap type="square" side="larges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mc:AlternateContent>
        <mc:Choice Requires="wps">
          <w:drawing>
            <wp:anchor distT="0" distB="0" distL="0" distR="0" simplePos="0" relativeHeight="251661312" behindDoc="0" locked="0" layoutInCell="1" allowOverlap="1">
              <wp:simplePos x="0" y="0"/>
              <wp:positionH relativeFrom="page">
                <wp:posOffset>7019925</wp:posOffset>
              </wp:positionH>
              <wp:positionV relativeFrom="paragraph">
                <wp:posOffset>635</wp:posOffset>
              </wp:positionV>
              <wp:extent cx="26670" cy="168275"/>
              <wp:effectExtent l="0" t="0" r="11430" b="3175"/>
              <wp:wrapSquare wrapText="largest"/>
              <wp:docPr id="3" name="Надпись 5"/>
              <wp:cNvGraphicFramePr/>
              <a:graphic xmlns:a="http://schemas.openxmlformats.org/drawingml/2006/main">
                <a:graphicData uri="http://schemas.microsoft.com/office/word/2010/wordprocessingShape">
                  <wps:wsp>
                    <wps:cNvSpPr txBox="1"/>
                    <wps:spPr>
                      <a:xfrm>
                        <a:off x="0" y="0"/>
                        <a:ext cx="26670" cy="168275"/>
                      </a:xfrm>
                      <a:prstGeom prst="rect">
                        <a:avLst/>
                      </a:prstGeom>
                      <a:solidFill>
                        <a:srgbClr val="FFFFFF"/>
                      </a:solidFill>
                      <a:ln>
                        <a:noFill/>
                      </a:ln>
                    </wps:spPr>
                    <wps:txbx>
                      <w:txbxContent>
                        <w:p>
                          <w:pPr>
                            <w:pStyle w:val="13"/>
                          </w:pPr>
                        </w:p>
                      </w:txbxContent>
                    </wps:txbx>
                    <wps:bodyPr wrap="square" lIns="6350" tIns="6350" rIns="6350" bIns="6350" upright="1"/>
                  </wps:wsp>
                </a:graphicData>
              </a:graphic>
            </wp:anchor>
          </w:drawing>
        </mc:Choice>
        <mc:Fallback>
          <w:pict>
            <v:shape id="Надпись 5" o:spid="_x0000_s1026" o:spt="202" type="#_x0000_t202" style="position:absolute;left:0pt;margin-left:552.75pt;margin-top:0.05pt;height:13.25pt;width:2.1pt;mso-position-horizontal-relative:page;mso-wrap-distance-bottom:0pt;mso-wrap-distance-left:0pt;mso-wrap-distance-right:0pt;mso-wrap-distance-top:0pt;z-index:251661312;mso-width-relative:page;mso-height-relative:page;" fillcolor="#FFFFFF" filled="t" stroked="f" coordsize="21600,21600" o:gfxdata="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Qj7pS0wAAAAkBAAAP&#10;AAAAAAAAAAEAIAAAACIAAABkcnMvZG93bnJldi54bWxQSwECFAAUAAAACACHTuJA4LAgOeQBAAC4&#10;AwAADgAAAAAAAAABACAAAAAiAQAAZHJzL2Uyb0RvYy54bWxQSwUGAAAAAAYABgBZAQAAeAUAAAAA&#10;">
              <v:fill on="t" focussize="0,0"/>
              <v:stroke on="f"/>
              <v:imagedata o:title=""/>
              <o:lock v:ext="edit" aspectratio="f"/>
              <v:textbox inset="0.5pt,0.5pt,0.5pt,0.5pt">
                <w:txbxContent>
                  <w:p>
                    <w:pPr>
                      <w:pStyle w:val="13"/>
                    </w:pPr>
                  </w:p>
                </w:txbxContent>
              </v:textbox>
              <w10:wrap type="square" side="largest"/>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635</wp:posOffset>
              </wp:positionV>
              <wp:extent cx="71755" cy="170180"/>
              <wp:effectExtent l="0" t="0" r="0" b="0"/>
              <wp:wrapSquare wrapText="largest"/>
              <wp:docPr id="5" name="Надпись 8"/>
              <wp:cNvGraphicFramePr/>
              <a:graphic xmlns:a="http://schemas.openxmlformats.org/drawingml/2006/main">
                <a:graphicData uri="http://schemas.microsoft.com/office/word/2010/wordprocessingShape">
                  <wps:wsp>
                    <wps:cNvSpPr txBox="1"/>
                    <wps:spPr>
                      <a:xfrm>
                        <a:off x="0" y="0"/>
                        <a:ext cx="71755" cy="170180"/>
                      </a:xfrm>
                      <a:prstGeom prst="rect">
                        <a:avLst/>
                      </a:prstGeom>
                      <a:solidFill>
                        <a:srgbClr val="FFFFFF">
                          <a:alpha val="0"/>
                        </a:srgbClr>
                      </a:solidFill>
                      <a:ln>
                        <a:noFill/>
                      </a:ln>
                    </wps:spPr>
                    <wps:txbx>
                      <w:txbxContent>
                        <w:p>
                          <w:pPr>
                            <w:pStyle w:val="10"/>
                          </w:pPr>
                          <w:r>
                            <w:rPr>
                              <w:rStyle w:val="6"/>
                            </w:rPr>
                            <w:fldChar w:fldCharType="begin"/>
                          </w:r>
                          <w:r>
                            <w:rPr>
                              <w:rStyle w:val="6"/>
                            </w:rPr>
                            <w:instrText xml:space="preserve"> PAGE </w:instrText>
                          </w:r>
                          <w:r>
                            <w:rPr>
                              <w:rStyle w:val="6"/>
                            </w:rPr>
                            <w:fldChar w:fldCharType="separate"/>
                          </w:r>
                          <w:r>
                            <w:rPr>
                              <w:rStyle w:val="6"/>
                              <w:lang/>
                            </w:rPr>
                            <w:t>2</w:t>
                          </w:r>
                          <w:r>
                            <w:rPr>
                              <w:rStyle w:val="6"/>
                            </w:rPr>
                            <w:fldChar w:fldCharType="end"/>
                          </w:r>
                        </w:p>
                      </w:txbxContent>
                    </wps:txbx>
                    <wps:bodyPr wrap="square" lIns="4445" tIns="4445" rIns="4445" bIns="4445" upright="1"/>
                  </wps:wsp>
                </a:graphicData>
              </a:graphic>
            </wp:anchor>
          </w:drawing>
        </mc:Choice>
        <mc:Fallback>
          <w:pict>
            <v:shape id="Надпись 8" o:spid="_x0000_s1026" o:spt="202" type="#_x0000_t202" style="position:absolute;left:0pt;margin-top:0.05pt;height:13.4pt;width:5.65pt;mso-position-horizontal:center;mso-position-horizontal-relative:margin;mso-wrap-distance-bottom:0pt;mso-wrap-distance-left:0pt;mso-wrap-distance-right:0pt;mso-wrap-distance-top:0pt;z-index:251663360;mso-width-relative:page;mso-height-relative:page;" fillcolor="#FFFFFF" filled="t" stroked="f" coordsize="21600,21600" o:gfxdata="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BafV7S&#10;AAAAAwEAAA8AAAAAAAAAAQAgAAAAIgAAAGRycy9kb3ducmV2LnhtbFBLAQIUABQAAAAIAIdO4kCE&#10;9W6s7QEAANUDAAAOAAAAAAAAAAEAIAAAACEBAABkcnMvZTJvRG9jLnhtbFBLBQYAAAAABgAGAFkB&#10;AACABQAAAAA=&#10;">
              <v:fill on="t" opacity="0f" focussize="0,0"/>
              <v:stroke on="f"/>
              <v:imagedata o:title=""/>
              <o:lock v:ext="edit" aspectratio="f"/>
              <v:textbox inset="0.35pt,0.35pt,0.35pt,0.35pt">
                <w:txbxContent>
                  <w:p>
                    <w:pPr>
                      <w:pStyle w:val="10"/>
                    </w:pPr>
                    <w:r>
                      <w:rPr>
                        <w:rStyle w:val="6"/>
                      </w:rPr>
                      <w:fldChar w:fldCharType="begin"/>
                    </w:r>
                    <w:r>
                      <w:rPr>
                        <w:rStyle w:val="6"/>
                      </w:rPr>
                      <w:instrText xml:space="preserve"> PAGE </w:instrText>
                    </w:r>
                    <w:r>
                      <w:rPr>
                        <w:rStyle w:val="6"/>
                      </w:rPr>
                      <w:fldChar w:fldCharType="separate"/>
                    </w:r>
                    <w:r>
                      <w:rPr>
                        <w:rStyle w:val="6"/>
                        <w:lang/>
                      </w:rPr>
                      <w:t>2</w:t>
                    </w:r>
                    <w:r>
                      <w:rPr>
                        <w:rStyle w:val="6"/>
                      </w:rPr>
                      <w:fldChar w:fldCharType="end"/>
                    </w:r>
                  </w:p>
                </w:txbxContent>
              </v:textbox>
              <w10:wrap type="square" side="largest"/>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1</w:t>
    </w:r>
    <w:r>
      <w:fldChar w:fldCharType="end"/>
    </w:r>
  </w:p>
  <w:p>
    <w:pPr>
      <w:pStyle w:val="10"/>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2</w:t>
    </w:r>
    <w:r>
      <w:fldChar w:fldCharType="end"/>
    </w:r>
  </w:p>
  <w:p>
    <w:pPr>
      <w:pStyle w:val="1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5</w:t>
    </w:r>
    <w:r>
      <w:fldChar w:fldCharType="end"/>
    </w:r>
  </w:p>
  <w:p>
    <w:pPr>
      <w:pStyle w:val="1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object>
        <v:shape id="_x0000_i1025" o:spt="75" type="#_x0000_t75" style="height:54.2pt;width:50.1pt;" o:ole="t" fillcolor="#FFFFFF" filled="t" stroked="f" coordsize="21600,21600">
          <v:path/>
          <v:fill on="t" color2="#000000" opacity="0f" focussize="0,0"/>
          <v:stroke on="f"/>
          <v:imagedata r:id="rId2" cropleft="-47f" croptop="-43f" cropright="-47f" cropbottom="-43f" o:title=""/>
          <o:lock v:ext="edit" aspectratio="t"/>
          <w10:wrap type="none"/>
          <w10:anchorlock/>
        </v:shape>
        <o:OLEObject Type="Embed" ProgID="Word.Picture.8" ShapeID="_x0000_i1025" DrawAspect="Content" ObjectID="_1468075725" r:id="rId1">
          <o:LockedField>false</o:LockedField>
        </o:OLEObject>
      </w:obje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1270</wp:posOffset>
              </wp:positionV>
              <wp:extent cx="307975" cy="170180"/>
              <wp:effectExtent l="0" t="0" r="0" b="0"/>
              <wp:wrapSquare wrapText="largest"/>
              <wp:docPr id="6" name="Надпись 9"/>
              <wp:cNvGraphicFramePr/>
              <a:graphic xmlns:a="http://schemas.openxmlformats.org/drawingml/2006/main">
                <a:graphicData uri="http://schemas.microsoft.com/office/word/2010/wordprocessingShape">
                  <wps:wsp>
                    <wps:cNvSpPr txBox="1"/>
                    <wps:spPr>
                      <a:xfrm>
                        <a:off x="0" y="0"/>
                        <a:ext cx="307975" cy="170180"/>
                      </a:xfrm>
                      <a:prstGeom prst="rect">
                        <a:avLst/>
                      </a:prstGeom>
                      <a:solidFill>
                        <a:srgbClr val="FFFFFF">
                          <a:alpha val="0"/>
                        </a:srgbClr>
                      </a:solidFill>
                      <a:ln>
                        <a:noFill/>
                      </a:ln>
                    </wps:spPr>
                    <wps:txbx>
                      <w:txbxContent>
                        <w:p>
                          <w:pPr>
                            <w:pStyle w:val="10"/>
                          </w:pPr>
                          <w:r>
                            <w:rPr>
                              <w:rStyle w:val="6"/>
                            </w:rPr>
                            <w:fldChar w:fldCharType="begin"/>
                          </w:r>
                          <w:r>
                            <w:rPr>
                              <w:rStyle w:val="6"/>
                            </w:rPr>
                            <w:instrText xml:space="preserve"> PAGE </w:instrText>
                          </w:r>
                          <w:r>
                            <w:rPr>
                              <w:rStyle w:val="6"/>
                            </w:rPr>
                            <w:fldChar w:fldCharType="separate"/>
                          </w:r>
                          <w:r>
                            <w:rPr>
                              <w:rStyle w:val="6"/>
                              <w:lang/>
                            </w:rPr>
                            <w:t>2</w:t>
                          </w:r>
                          <w:r>
                            <w:rPr>
                              <w:rStyle w:val="6"/>
                            </w:rPr>
                            <w:fldChar w:fldCharType="end"/>
                          </w:r>
                        </w:p>
                      </w:txbxContent>
                    </wps:txbx>
                    <wps:bodyPr wrap="square" lIns="4445" tIns="4445" rIns="4445" bIns="4445" upright="1"/>
                  </wps:wsp>
                </a:graphicData>
              </a:graphic>
            </wp:anchor>
          </w:drawing>
        </mc:Choice>
        <mc:Fallback>
          <w:pict>
            <v:shape id="Надпись 9" o:spid="_x0000_s1026" o:spt="202" type="#_x0000_t202" style="position:absolute;left:0pt;margin-top:0.1pt;height:13.4pt;width:24.25pt;mso-position-horizontal:center;mso-position-horizontal-relative:margin;mso-wrap-distance-bottom:0pt;mso-wrap-distance-left:0pt;mso-wrap-distance-right:0pt;mso-wrap-distance-top:0pt;z-index:251664384;mso-width-relative:page;mso-height-relative:page;" fillcolor="#FFFFFF" filled="t" stroked="f" coordsize="21600,21600" o:gfxdata="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TGg&#10;6tIAAAADAQAADwAAAAAAAAABACAAAAAiAAAAZHJzL2Rvd25yZXYueG1sUEsBAhQAFAAAAAgAh07i&#10;QLjn5p/vAQAA1gMAAA4AAAAAAAAAAQAgAAAAIQEAAGRycy9lMm9Eb2MueG1sUEsFBgAAAAAGAAYA&#10;WQEAAIIFAAAAAA==&#10;">
              <v:fill on="t" opacity="0f" focussize="0,0"/>
              <v:stroke on="f"/>
              <v:imagedata o:title=""/>
              <o:lock v:ext="edit" aspectratio="f"/>
              <v:textbox inset="0.35pt,0.35pt,0.35pt,0.35pt">
                <w:txbxContent>
                  <w:p>
                    <w:pPr>
                      <w:pStyle w:val="10"/>
                    </w:pPr>
                    <w:r>
                      <w:rPr>
                        <w:rStyle w:val="6"/>
                      </w:rPr>
                      <w:fldChar w:fldCharType="begin"/>
                    </w:r>
                    <w:r>
                      <w:rPr>
                        <w:rStyle w:val="6"/>
                      </w:rPr>
                      <w:instrText xml:space="preserve"> PAGE </w:instrText>
                    </w:r>
                    <w:r>
                      <w:rPr>
                        <w:rStyle w:val="6"/>
                      </w:rPr>
                      <w:fldChar w:fldCharType="separate"/>
                    </w:r>
                    <w:r>
                      <w:rPr>
                        <w:rStyle w:val="6"/>
                        <w:lang/>
                      </w:rPr>
                      <w:t>2</w:t>
                    </w:r>
                    <w:r>
                      <w:rPr>
                        <w:rStyle w:val="6"/>
                      </w:rPr>
                      <w:fldChar w:fldCharType="end"/>
                    </w:r>
                  </w:p>
                </w:txbxContent>
              </v:textbox>
              <w10:wrap type="square" side="largest"/>
            </v:shape>
          </w:pict>
        </mc:Fallback>
      </mc:AlternateContent>
    </w: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2</w:t>
    </w:r>
    <w:r>
      <w:fldChar w:fldCharType="end"/>
    </w:r>
  </w:p>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1</w:t>
    </w:r>
    <w:r>
      <w:fldChar w:fldCharType="end"/>
    </w:r>
  </w:p>
  <w:p>
    <w:pPr>
      <w:pStyle w:val="10"/>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rPr>
      <w:t>2</w:t>
    </w:r>
    <w:r>
      <w:fldChar w:fldCharType="end"/>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mirrorMargins w:val="1"/>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70"/>
  <w:autoHyphenation/>
  <w:hyphenationZone w:val="360"/>
  <w:drawingGridHorizontalSpacing w:val="120"/>
  <w:drawingGridVerticalSpacing w:val="0"/>
  <w:displayHorizontalDrawingGridEvery w:val="0"/>
  <w:displayVerticalDrawingGridEvery w:val="0"/>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16"/>
    <w:rsid w:val="000D5C00"/>
    <w:rsid w:val="00190A18"/>
    <w:rsid w:val="001A265F"/>
    <w:rsid w:val="003C38B9"/>
    <w:rsid w:val="004313BC"/>
    <w:rsid w:val="00775336"/>
    <w:rsid w:val="007C1316"/>
    <w:rsid w:val="00804EC7"/>
    <w:rsid w:val="00B3183F"/>
    <w:rsid w:val="00D010B5"/>
    <w:rsid w:val="00DA33D2"/>
    <w:rsid w:val="00DE3C9F"/>
    <w:rsid w:val="2C2C76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autoSpaceDE w:val="0"/>
    </w:pPr>
    <w:rPr>
      <w:sz w:val="24"/>
      <w:szCs w:val="24"/>
      <w:lang w:val="ru-RU" w:eastAsia="zh-CN" w:bidi="ar-SA"/>
    </w:rPr>
  </w:style>
  <w:style w:type="paragraph" w:styleId="2">
    <w:name w:val="heading 1"/>
    <w:basedOn w:val="1"/>
    <w:next w:val="1"/>
    <w:qFormat/>
    <w:uiPriority w:val="0"/>
    <w:pPr>
      <w:widowControl w:val="0"/>
      <w:numPr>
        <w:ilvl w:val="0"/>
        <w:numId w:val="1"/>
      </w:numPr>
      <w:spacing w:before="108" w:after="108"/>
      <w:jc w:val="center"/>
      <w:outlineLvl w:val="0"/>
    </w:pPr>
    <w:rPr>
      <w:rFonts w:ascii="Arial" w:hAnsi="Arial" w:cs="Arial"/>
      <w:b/>
      <w:bCs/>
      <w:color w:val="000080"/>
    </w:rPr>
  </w:style>
  <w:style w:type="character" w:default="1" w:styleId="3">
    <w:name w:val="Default Paragraph Font"/>
    <w:semiHidden/>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character" w:styleId="5">
    <w:name w:val="Hyperlink"/>
    <w:uiPriority w:val="0"/>
    <w:rPr>
      <w:color w:val="0000FF"/>
      <w:u w:val="single"/>
    </w:rPr>
  </w:style>
  <w:style w:type="character" w:styleId="6">
    <w:name w:val="page number"/>
    <w:basedOn w:val="7"/>
    <w:uiPriority w:val="0"/>
  </w:style>
  <w:style w:type="character" w:customStyle="1" w:styleId="7">
    <w:name w:val="Основной шрифт абзаца1"/>
    <w:uiPriority w:val="0"/>
  </w:style>
  <w:style w:type="paragraph" w:styleId="8">
    <w:name w:val="Balloon Text"/>
    <w:basedOn w:val="1"/>
    <w:uiPriority w:val="0"/>
    <w:rPr>
      <w:rFonts w:ascii="Tahoma" w:hAnsi="Tahoma" w:cs="Tahoma"/>
      <w:sz w:val="16"/>
      <w:szCs w:val="16"/>
    </w:rPr>
  </w:style>
  <w:style w:type="paragraph" w:styleId="9">
    <w:name w:val="caption"/>
    <w:basedOn w:val="1"/>
    <w:qFormat/>
    <w:uiPriority w:val="0"/>
    <w:pPr>
      <w:suppressLineNumbers/>
      <w:spacing w:before="120" w:after="120"/>
    </w:pPr>
    <w:rPr>
      <w:rFonts w:cs="Arial Unicode MS"/>
      <w:i/>
      <w:iCs/>
      <w:sz w:val="24"/>
      <w:szCs w:val="24"/>
    </w:rPr>
  </w:style>
  <w:style w:type="paragraph" w:styleId="10">
    <w:name w:val="header"/>
    <w:basedOn w:val="1"/>
    <w:link w:val="54"/>
    <w:uiPriority w:val="99"/>
    <w:pPr>
      <w:tabs>
        <w:tab w:val="center" w:pos="4677"/>
        <w:tab w:val="right" w:pos="9355"/>
      </w:tabs>
    </w:pPr>
  </w:style>
  <w:style w:type="paragraph" w:styleId="11">
    <w:name w:val="Body Text"/>
    <w:basedOn w:val="1"/>
    <w:uiPriority w:val="0"/>
    <w:pPr>
      <w:spacing w:before="0" w:after="140" w:line="276" w:lineRule="auto"/>
    </w:pPr>
  </w:style>
  <w:style w:type="paragraph" w:styleId="12">
    <w:name w:val="Body Text Indent"/>
    <w:basedOn w:val="1"/>
    <w:uiPriority w:val="0"/>
    <w:pPr>
      <w:jc w:val="both"/>
    </w:pPr>
    <w:rPr>
      <w:sz w:val="28"/>
      <w:szCs w:val="28"/>
    </w:rPr>
  </w:style>
  <w:style w:type="paragraph" w:styleId="13">
    <w:name w:val="footer"/>
    <w:basedOn w:val="1"/>
    <w:uiPriority w:val="0"/>
    <w:pPr>
      <w:tabs>
        <w:tab w:val="center" w:pos="4677"/>
        <w:tab w:val="right" w:pos="9355"/>
      </w:tabs>
    </w:pPr>
  </w:style>
  <w:style w:type="paragraph" w:styleId="14">
    <w:name w:val="List"/>
    <w:basedOn w:val="11"/>
    <w:uiPriority w:val="0"/>
    <w:rPr>
      <w:rFonts w:cs="Arial Unicode MS"/>
    </w:rPr>
  </w:style>
  <w:style w:type="character" w:customStyle="1" w:styleId="15">
    <w:name w:val="WW8Num1z0"/>
    <w:uiPriority w:val="0"/>
  </w:style>
  <w:style w:type="character" w:customStyle="1" w:styleId="16">
    <w:name w:val="WW8Num1z1"/>
    <w:uiPriority w:val="0"/>
  </w:style>
  <w:style w:type="character" w:customStyle="1" w:styleId="17">
    <w:name w:val="WW8Num1z2"/>
    <w:uiPriority w:val="0"/>
  </w:style>
  <w:style w:type="character" w:customStyle="1" w:styleId="18">
    <w:name w:val="WW8Num1z3"/>
    <w:uiPriority w:val="0"/>
  </w:style>
  <w:style w:type="character" w:customStyle="1" w:styleId="19">
    <w:name w:val="WW8Num1z4"/>
    <w:uiPriority w:val="0"/>
  </w:style>
  <w:style w:type="character" w:customStyle="1" w:styleId="20">
    <w:name w:val="WW8Num1z5"/>
    <w:uiPriority w:val="0"/>
  </w:style>
  <w:style w:type="character" w:customStyle="1" w:styleId="21">
    <w:name w:val="WW8Num1z6"/>
    <w:uiPriority w:val="0"/>
  </w:style>
  <w:style w:type="character" w:customStyle="1" w:styleId="22">
    <w:name w:val="WW8Num1z7"/>
    <w:uiPriority w:val="0"/>
  </w:style>
  <w:style w:type="character" w:customStyle="1" w:styleId="23">
    <w:name w:val="WW8Num1z8"/>
    <w:uiPriority w:val="0"/>
  </w:style>
  <w:style w:type="character" w:customStyle="1" w:styleId="24">
    <w:name w:val="Основной шрифт абзаца2"/>
    <w:uiPriority w:val="0"/>
  </w:style>
  <w:style w:type="character" w:customStyle="1" w:styleId="25">
    <w:name w:val="WW8Num2z0"/>
    <w:uiPriority w:val="0"/>
    <w:rPr>
      <w:rFonts w:cs="Times New Roman"/>
      <w:b/>
    </w:rPr>
  </w:style>
  <w:style w:type="character" w:customStyle="1" w:styleId="26">
    <w:name w:val="WW8Num2z2"/>
    <w:uiPriority w:val="0"/>
    <w:rPr>
      <w:rFonts w:cs="Times New Roman"/>
    </w:rPr>
  </w:style>
  <w:style w:type="character" w:customStyle="1" w:styleId="27">
    <w:name w:val="WW8Num3z0"/>
    <w:uiPriority w:val="0"/>
    <w:rPr>
      <w:rFonts w:hint="default"/>
    </w:rPr>
  </w:style>
  <w:style w:type="character" w:customStyle="1" w:styleId="28">
    <w:name w:val="WW8Num3z1"/>
    <w:uiPriority w:val="0"/>
  </w:style>
  <w:style w:type="character" w:customStyle="1" w:styleId="29">
    <w:name w:val="WW8Num3z2"/>
    <w:uiPriority w:val="0"/>
  </w:style>
  <w:style w:type="character" w:customStyle="1" w:styleId="30">
    <w:name w:val="WW8Num3z3"/>
    <w:uiPriority w:val="0"/>
  </w:style>
  <w:style w:type="character" w:customStyle="1" w:styleId="31">
    <w:name w:val="WW8Num3z4"/>
    <w:uiPriority w:val="0"/>
  </w:style>
  <w:style w:type="character" w:customStyle="1" w:styleId="32">
    <w:name w:val="WW8Num3z5"/>
    <w:uiPriority w:val="0"/>
  </w:style>
  <w:style w:type="character" w:customStyle="1" w:styleId="33">
    <w:name w:val="WW8Num3z6"/>
    <w:uiPriority w:val="0"/>
  </w:style>
  <w:style w:type="character" w:customStyle="1" w:styleId="34">
    <w:name w:val="WW8Num3z7"/>
    <w:uiPriority w:val="0"/>
  </w:style>
  <w:style w:type="character" w:customStyle="1" w:styleId="35">
    <w:name w:val="WW8Num3z8"/>
    <w:uiPriority w:val="0"/>
  </w:style>
  <w:style w:type="character" w:customStyle="1" w:styleId="36">
    <w:name w:val="WW8Num4z0"/>
    <w:uiPriority w:val="0"/>
    <w:rPr>
      <w:rFonts w:hint="default"/>
    </w:rPr>
  </w:style>
  <w:style w:type="character" w:customStyle="1" w:styleId="37">
    <w:name w:val="WW8Num5z0"/>
    <w:uiPriority w:val="0"/>
    <w:rPr>
      <w:color w:val="000000"/>
    </w:rPr>
  </w:style>
  <w:style w:type="character" w:customStyle="1" w:styleId="38">
    <w:name w:val="WW8Num5z1"/>
    <w:uiPriority w:val="0"/>
    <w:rPr>
      <w:rFonts w:hint="default"/>
    </w:rPr>
  </w:style>
  <w:style w:type="character" w:customStyle="1" w:styleId="39">
    <w:name w:val="WW8Num6z0"/>
    <w:uiPriority w:val="0"/>
    <w:rPr>
      <w:rFonts w:hint="default" w:ascii="Times New Roman" w:hAnsi="Times New Roman" w:cs="Times New Roman"/>
    </w:rPr>
  </w:style>
  <w:style w:type="character" w:customStyle="1" w:styleId="40">
    <w:name w:val="Название Знак"/>
    <w:uiPriority w:val="0"/>
    <w:rPr>
      <w:sz w:val="24"/>
      <w:lang w:bidi="ar-SA"/>
    </w:rPr>
  </w:style>
  <w:style w:type="paragraph" w:customStyle="1" w:styleId="41">
    <w:name w:val="Заголовок"/>
    <w:basedOn w:val="1"/>
    <w:next w:val="11"/>
    <w:uiPriority w:val="0"/>
    <w:pPr>
      <w:autoSpaceDE/>
      <w:jc w:val="center"/>
    </w:pPr>
    <w:rPr>
      <w:szCs w:val="20"/>
    </w:rPr>
  </w:style>
  <w:style w:type="paragraph" w:customStyle="1" w:styleId="42">
    <w:name w:val="Указатель2"/>
    <w:basedOn w:val="1"/>
    <w:uiPriority w:val="0"/>
    <w:pPr>
      <w:suppressLineNumbers/>
    </w:pPr>
    <w:rPr>
      <w:rFonts w:cs="Arial Unicode MS"/>
    </w:rPr>
  </w:style>
  <w:style w:type="paragraph" w:customStyle="1" w:styleId="43">
    <w:name w:val="Название объекта1"/>
    <w:basedOn w:val="1"/>
    <w:uiPriority w:val="0"/>
    <w:pPr>
      <w:suppressLineNumbers/>
      <w:spacing w:before="120" w:after="120"/>
    </w:pPr>
    <w:rPr>
      <w:rFonts w:cs="Arial Unicode MS"/>
      <w:i/>
      <w:iCs/>
      <w:sz w:val="24"/>
      <w:szCs w:val="24"/>
    </w:rPr>
  </w:style>
  <w:style w:type="paragraph" w:customStyle="1" w:styleId="44">
    <w:name w:val="Указатель1"/>
    <w:basedOn w:val="1"/>
    <w:uiPriority w:val="0"/>
    <w:pPr>
      <w:suppressLineNumbers/>
    </w:pPr>
    <w:rPr>
      <w:rFonts w:cs="Arial Unicode MS"/>
    </w:rPr>
  </w:style>
  <w:style w:type="paragraph" w:customStyle="1" w:styleId="45">
    <w:name w:val="Таблицы (моноширинный)"/>
    <w:basedOn w:val="1"/>
    <w:next w:val="1"/>
    <w:uiPriority w:val="0"/>
    <w:pPr>
      <w:widowControl w:val="0"/>
      <w:jc w:val="both"/>
    </w:pPr>
    <w:rPr>
      <w:rFonts w:ascii="Courier New" w:hAnsi="Courier New" w:cs="Courier New"/>
    </w:rPr>
  </w:style>
  <w:style w:type="paragraph" w:customStyle="1" w:styleId="46">
    <w:name w:val="Heading"/>
    <w:uiPriority w:val="0"/>
    <w:pPr>
      <w:suppressAutoHyphens/>
      <w:autoSpaceDE w:val="0"/>
    </w:pPr>
    <w:rPr>
      <w:rFonts w:ascii="Arial" w:hAnsi="Arial" w:cs="Arial"/>
      <w:sz w:val="28"/>
      <w:szCs w:val="28"/>
      <w:lang w:val="ru-RU" w:eastAsia="zh-CN" w:bidi="ar-SA"/>
    </w:rPr>
  </w:style>
  <w:style w:type="paragraph" w:customStyle="1" w:styleId="47">
    <w:name w:val="No Spacing"/>
    <w:uiPriority w:val="0"/>
    <w:pPr>
      <w:suppressAutoHyphens/>
    </w:pPr>
    <w:rPr>
      <w:rFonts w:ascii="Calibri" w:hAnsi="Calibri" w:cs="Calibri"/>
      <w:sz w:val="22"/>
      <w:szCs w:val="22"/>
      <w:lang w:val="ru-RU" w:eastAsia="zh-CN" w:bidi="ar-SA"/>
    </w:rPr>
  </w:style>
  <w:style w:type="paragraph" w:styleId="48">
    <w:name w:val="No Spacing"/>
    <w:qFormat/>
    <w:uiPriority w:val="0"/>
    <w:pPr>
      <w:suppressAutoHyphens/>
    </w:pPr>
    <w:rPr>
      <w:rFonts w:ascii="Calibri" w:hAnsi="Calibri" w:cs="Calibri"/>
      <w:sz w:val="22"/>
      <w:szCs w:val="22"/>
      <w:lang w:val="ru-RU" w:eastAsia="zh-CN" w:bidi="ar-SA"/>
    </w:rPr>
  </w:style>
  <w:style w:type="paragraph" w:customStyle="1" w:styleId="49">
    <w:name w:val="Содержимое таблицы"/>
    <w:basedOn w:val="1"/>
    <w:uiPriority w:val="0"/>
    <w:pPr>
      <w:suppressLineNumbers/>
    </w:pPr>
  </w:style>
  <w:style w:type="paragraph" w:customStyle="1" w:styleId="50">
    <w:name w:val="Заголовок таблицы"/>
    <w:basedOn w:val="49"/>
    <w:uiPriority w:val="0"/>
    <w:pPr>
      <w:suppressLineNumbers/>
      <w:jc w:val="center"/>
    </w:pPr>
    <w:rPr>
      <w:b/>
      <w:bCs/>
    </w:rPr>
  </w:style>
  <w:style w:type="paragraph" w:customStyle="1" w:styleId="51">
    <w:name w:val="Содержимое врезки"/>
    <w:basedOn w:val="1"/>
    <w:uiPriority w:val="0"/>
  </w:style>
  <w:style w:type="paragraph" w:customStyle="1" w:styleId="52">
    <w:name w:val="Нормальный"/>
    <w:uiPriority w:val="0"/>
    <w:pPr>
      <w:widowControl w:val="0"/>
      <w:suppressAutoHyphens/>
      <w:autoSpaceDE w:val="0"/>
    </w:pPr>
    <w:rPr>
      <w:color w:val="000000"/>
      <w:sz w:val="24"/>
      <w:szCs w:val="24"/>
      <w:lang w:val="ru-RU" w:eastAsia="zh-CN" w:bidi="ar-SA"/>
    </w:rPr>
  </w:style>
  <w:style w:type="paragraph" w:customStyle="1" w:styleId="53">
    <w:name w:val="ConsPlusNormal"/>
    <w:next w:val="1"/>
    <w:uiPriority w:val="0"/>
    <w:pPr>
      <w:widowControl w:val="0"/>
      <w:suppressAutoHyphens/>
      <w:autoSpaceDE w:val="0"/>
      <w:ind w:firstLine="720"/>
    </w:pPr>
    <w:rPr>
      <w:sz w:val="24"/>
      <w:szCs w:val="24"/>
      <w:lang w:val="ru-RU" w:eastAsia="zh-CN" w:bidi="ar-SA"/>
    </w:rPr>
  </w:style>
  <w:style w:type="character" w:customStyle="1" w:styleId="54">
    <w:name w:val="Верхний колонтитул Знак"/>
    <w:basedOn w:val="3"/>
    <w:link w:val="10"/>
    <w:uiPriority w:val="99"/>
    <w:rPr>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header" Target="header2.xml"/><Relationship Id="rId39" Type="http://schemas.openxmlformats.org/officeDocument/2006/relationships/footer" Target="footer17.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7.xml"/><Relationship Id="rId31" Type="http://schemas.openxmlformats.org/officeDocument/2006/relationships/header" Target="header16.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97;&#1072;&#1103;\&#1064;&#1072;&#1073;&#1083;&#1086;&#1085;%20&#1055;&#1086;&#1089;&#1090;&#1072;&#1085;&#1086;&#1074;&#1083;&#1077;&#1085;&#1080;&#1103;%20&#1074;%20WOR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в WORD.dot</Template>
  <Company>Microsoft</Company>
  <Pages>33</Pages>
  <Words>9351</Words>
  <Characters>53303</Characters>
  <Lines>444</Lines>
  <Paragraphs>125</Paragraphs>
  <TotalTime>0</TotalTime>
  <ScaleCrop>false</ScaleCrop>
  <LinksUpToDate>false</LinksUpToDate>
  <CharactersWithSpaces>62529</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2021-07-01T13:28:00Z</dcterms:created>
  <dc:creator>Anastasiya</dc:creator>
  <cp:lastModifiedBy>User</cp:lastModifiedBy>
  <cp:lastPrinted>2021-07-01T13:29:00Z</cp:lastPrinted>
  <dcterms:modified xsi:type="dcterms:W3CDTF">2021-07-06T13:35:54Z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1049-11.2.0.10176</vt:lpwstr>
  </property>
</Properties>
</file>