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ПОЯСНИТЕЛЬНАЯ ЗАПИСКА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 xml:space="preserve">к проекту постановления администрации Богородского муниципального 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округа Нижегородской области</w:t>
      </w:r>
    </w:p>
    <w:p w14:paraId="04000000">
      <w:pPr>
        <w:ind/>
        <w:jc w:val="center"/>
        <w:rPr>
          <w:sz w:val="28"/>
        </w:rPr>
      </w:pPr>
      <w:r>
        <w:rPr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 xml:space="preserve">О внесении </w:t>
      </w:r>
      <w:r>
        <w:rPr>
          <w:rFonts w:ascii="Times New Roman" w:hAnsi="Times New Roman"/>
          <w:b w:val="0"/>
          <w:color w:val="000000"/>
          <w:sz w:val="28"/>
        </w:rPr>
        <w:t>изменений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в</w:t>
      </w:r>
      <w:r>
        <w:rPr>
          <w:rFonts w:ascii="Times New Roman" w:hAnsi="Times New Roman"/>
          <w:b w:val="0"/>
          <w:color w:val="000000"/>
          <w:sz w:val="28"/>
        </w:rPr>
        <w:t xml:space="preserve"> административный регламент администрации </w:t>
      </w:r>
      <w:r>
        <w:rPr>
          <w:rFonts w:ascii="Times New Roman" w:hAnsi="Times New Roman"/>
          <w:b w:val="0"/>
          <w:color w:val="000000"/>
          <w:sz w:val="28"/>
        </w:rPr>
        <w:t xml:space="preserve">Богородского муниципального округа Нижегородской области по исполнению муниципальной услуги «Согласование создания места (площадки) накопления твердых коммунальных отходов, расположенных на территории </w:t>
      </w:r>
      <w:r>
        <w:rPr>
          <w:rFonts w:ascii="Times New Roman" w:hAnsi="Times New Roman"/>
          <w:b w:val="0"/>
          <w:color w:val="000000"/>
          <w:sz w:val="28"/>
        </w:rPr>
        <w:t>Богородского муниципального округа Нижегородской области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>, утвержденный постановлением администрации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Богородского муниципального округа Ниж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городской</w:t>
      </w:r>
      <w:r>
        <w:rPr>
          <w:rFonts w:ascii="Times New Roman" w:hAnsi="Times New Roman"/>
          <w:b w:val="0"/>
          <w:sz w:val="28"/>
        </w:rPr>
        <w:t xml:space="preserve"> области от 19.09.2022 №3549</w:t>
      </w:r>
      <w:r>
        <w:rPr>
          <w:b w:val="0"/>
          <w:color w:val="000000"/>
          <w:sz w:val="28"/>
        </w:rPr>
        <w:t>»</w:t>
      </w:r>
      <w:r>
        <w:rPr>
          <w:color w:val="000000"/>
          <w:sz w:val="28"/>
        </w:rPr>
        <w:t>.</w:t>
      </w: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58"/>
        <w:gridCol w:w="3942"/>
        <w:gridCol w:w="4854"/>
      </w:tblGrid>
      <w:t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type="dxa" w:w="3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type="dxa" w:w="4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Сведения по проекту административного регламента</w:t>
            </w:r>
          </w:p>
        </w:tc>
      </w:tr>
      <w:t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3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type="dxa" w:w="4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Управление сельских территорий администрации Богородского муниципального округа Нижегородской области</w:t>
            </w:r>
          </w:p>
        </w:tc>
      </w:tr>
      <w:t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3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Предмет регулирования</w:t>
            </w:r>
          </w:p>
        </w:tc>
        <w:tc>
          <w:tcPr>
            <w:tcW w:type="dxa" w:w="4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ind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Согласование создания места (площадки) накопления твердых коммунальных отходов на территории Богородского муниципального округа Нижегородской области</w:t>
            </w:r>
            <w:r>
              <w:rPr>
                <w:color w:val="000000"/>
                <w:sz w:val="28"/>
              </w:rPr>
              <w:t xml:space="preserve"> </w:t>
            </w:r>
          </w:p>
        </w:tc>
      </w:tr>
      <w:t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3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Цели, результат</w:t>
            </w:r>
          </w:p>
        </w:tc>
        <w:tc>
          <w:tcPr>
            <w:tcW w:type="dxa" w:w="4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ind/>
              <w:jc w:val="center"/>
              <w:rPr>
                <w:sz w:val="28"/>
              </w:rPr>
            </w:pPr>
            <w:r>
              <w:rPr>
                <w:color w:themeColor="text1" w:val="000000"/>
                <w:sz w:val="28"/>
              </w:rPr>
              <w:t>Повышение качества исполнения и 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</w:t>
            </w:r>
          </w:p>
        </w:tc>
      </w:tr>
      <w:t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3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Необходимость приведения в соответствие других нормативных правовых актов в соответствие с вносимым проектом в случае его утверждения (указать, требуется ли принятие других нормативных правовых актов или внесение изменений и/или дополнений в действующие акты) либо отсутствие такой необходимости</w:t>
            </w:r>
          </w:p>
        </w:tc>
        <w:tc>
          <w:tcPr>
            <w:tcW w:type="dxa" w:w="4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ind/>
              <w:jc w:val="center"/>
              <w:rPr>
                <w:sz w:val="28"/>
              </w:rPr>
            </w:pPr>
          </w:p>
          <w:p w14:paraId="14000000">
            <w:pPr>
              <w:ind/>
              <w:jc w:val="center"/>
              <w:rPr>
                <w:sz w:val="28"/>
              </w:rPr>
            </w:pPr>
          </w:p>
          <w:p w14:paraId="15000000">
            <w:pPr>
              <w:rPr>
                <w:sz w:val="28"/>
              </w:rPr>
            </w:pPr>
          </w:p>
          <w:p w14:paraId="16000000">
            <w:pPr>
              <w:ind/>
              <w:jc w:val="center"/>
              <w:rPr>
                <w:sz w:val="28"/>
              </w:rPr>
            </w:pPr>
          </w:p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Не требуется</w:t>
            </w:r>
          </w:p>
        </w:tc>
      </w:tr>
      <w:t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3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Информация о размещении проекта административного </w:t>
            </w:r>
            <w:r>
              <w:rPr>
                <w:sz w:val="28"/>
              </w:rPr>
              <w:t>регламента на официальном сайте администрации округа в информационно-телекоммуникационной сети «Интернет»</w:t>
            </w:r>
          </w:p>
        </w:tc>
        <w:tc>
          <w:tcPr>
            <w:tcW w:type="dxa" w:w="4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center"/>
              <w:rPr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Проект размещен на официальном сайте администрации округа в разделе </w:t>
            </w:r>
            <w:r>
              <w:rPr>
                <w:color w:themeColor="text1" w:val="000000"/>
                <w:sz w:val="28"/>
              </w:rPr>
              <w:t>«Публичные слушания и обсуждения»</w:t>
            </w:r>
          </w:p>
        </w:tc>
      </w:tr>
      <w:t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3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Срок, отведенный для проведения независимой экспертизы (не менее 15 дней)</w:t>
            </w:r>
          </w:p>
        </w:tc>
        <w:tc>
          <w:tcPr>
            <w:tcW w:type="dxa" w:w="4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 «24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октября</w:t>
            </w:r>
            <w:r>
              <w:rPr>
                <w:sz w:val="28"/>
              </w:rPr>
              <w:t xml:space="preserve"> 2022</w:t>
            </w:r>
            <w:r>
              <w:rPr>
                <w:sz w:val="28"/>
              </w:rPr>
              <w:t xml:space="preserve"> г.</w:t>
            </w:r>
          </w:p>
          <w:p w14:paraId="1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по «07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ноября</w:t>
            </w:r>
            <w:r>
              <w:rPr>
                <w:sz w:val="28"/>
              </w:rPr>
              <w:t xml:space="preserve"> 2022</w:t>
            </w:r>
            <w:r>
              <w:rPr>
                <w:sz w:val="28"/>
              </w:rPr>
              <w:t xml:space="preserve"> г.</w:t>
            </w:r>
          </w:p>
        </w:tc>
      </w:tr>
      <w:t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3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type="dxa" w:w="4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Почтовый адрес: </w:t>
            </w:r>
          </w:p>
          <w:p w14:paraId="2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Ленина ул., д. 184, г.Богородск</w:t>
            </w:r>
            <w:r>
              <w:rPr>
                <w:sz w:val="28"/>
              </w:rPr>
              <w:t>,</w:t>
            </w:r>
          </w:p>
          <w:p w14:paraId="2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Нижегородская область, 607600</w:t>
            </w:r>
          </w:p>
          <w:p w14:paraId="2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e-m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il</w:t>
            </w:r>
            <w:r>
              <w:rPr>
                <w:sz w:val="28"/>
              </w:rPr>
              <w:t>: upr.sel.ter@mail.ru</w:t>
            </w:r>
          </w:p>
          <w:p w14:paraId="25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3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type="dxa" w:w="4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ind/>
              <w:jc w:val="center"/>
              <w:rPr>
                <w:sz w:val="28"/>
              </w:rPr>
            </w:pPr>
          </w:p>
          <w:p w14:paraId="2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 «24» октября</w:t>
            </w:r>
            <w:r>
              <w:rPr>
                <w:sz w:val="28"/>
              </w:rPr>
              <w:t xml:space="preserve"> 2022 г.</w:t>
            </w:r>
          </w:p>
          <w:p w14:paraId="2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по «</w:t>
            </w:r>
            <w:r>
              <w:rPr>
                <w:sz w:val="28"/>
              </w:rPr>
              <w:t>07</w:t>
            </w:r>
            <w:r>
              <w:rPr>
                <w:sz w:val="28"/>
              </w:rPr>
              <w:t>» ноября</w:t>
            </w:r>
            <w:r>
              <w:rPr>
                <w:sz w:val="28"/>
              </w:rPr>
              <w:t xml:space="preserve"> 2022 г.</w:t>
            </w:r>
          </w:p>
        </w:tc>
      </w:tr>
    </w:tbl>
    <w:p w14:paraId="2B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2022-10-21T05:55:17Z</dcterms:modified>
</cp:coreProperties>
</file>