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28"/>
          <w:szCs w:val="28"/>
        </w:rPr>
      </w:pPr>
      <w:bookmarkStart w:id="1" w:name="_GoBack"/>
      <w:bookmarkEnd w:id="1"/>
      <w:r>
        <w:rPr>
          <w:b/>
          <w:bCs/>
          <w:spacing w:val="20"/>
          <w:sz w:val="28"/>
          <w:szCs w:val="28"/>
        </w:rPr>
        <w:t>Совет депутатов Богородского муниципального округа</w:t>
      </w:r>
    </w:p>
    <w:p>
      <w:pPr>
        <w:jc w:val="center"/>
        <w:rPr>
          <w:b/>
          <w:bCs/>
          <w:spacing w:val="20"/>
          <w:sz w:val="28"/>
          <w:szCs w:val="28"/>
        </w:rPr>
      </w:pPr>
      <w:r>
        <w:rPr>
          <w:b/>
          <w:bCs/>
          <w:spacing w:val="20"/>
          <w:sz w:val="28"/>
          <w:szCs w:val="28"/>
        </w:rPr>
        <w:t>Нижегородской области</w:t>
      </w:r>
    </w:p>
    <w:p>
      <w:pPr>
        <w:jc w:val="center"/>
        <w:rPr>
          <w:b/>
          <w:bCs/>
          <w:spacing w:val="20"/>
          <w:sz w:val="28"/>
          <w:szCs w:val="28"/>
        </w:rPr>
      </w:pPr>
    </w:p>
    <w:p>
      <w:pPr>
        <w:jc w:val="center"/>
        <w:rPr>
          <w:b/>
          <w:bCs/>
          <w:spacing w:val="20"/>
          <w:sz w:val="44"/>
          <w:szCs w:val="44"/>
        </w:rPr>
      </w:pPr>
      <w:r>
        <w:rPr>
          <w:b/>
          <w:bCs/>
          <w:spacing w:val="20"/>
          <w:sz w:val="44"/>
          <w:szCs w:val="44"/>
        </w:rPr>
        <w:t>Р Е Ш Е Н И Е</w:t>
      </w:r>
    </w:p>
    <w:p>
      <w:pPr>
        <w:jc w:val="center"/>
        <w:rPr>
          <w:sz w:val="28"/>
          <w:szCs w:val="28"/>
        </w:rPr>
      </w:pPr>
    </w:p>
    <w:p>
      <w:pPr>
        <w:jc w:val="center"/>
        <w:rPr>
          <w:sz w:val="28"/>
          <w:szCs w:val="28"/>
        </w:rPr>
      </w:pPr>
    </w:p>
    <w:p>
      <w:pPr>
        <w:jc w:val="center"/>
        <w:rPr>
          <w:sz w:val="28"/>
          <w:szCs w:val="28"/>
        </w:rPr>
      </w:pPr>
      <w:r>
        <w:rPr>
          <w:sz w:val="28"/>
          <w:szCs w:val="28"/>
        </w:rPr>
        <w:t>15.12.2022                                                                                           № 147</w:t>
      </w:r>
    </w:p>
    <w:p>
      <w:pPr>
        <w:rPr>
          <w:sz w:val="28"/>
          <w:szCs w:val="28"/>
        </w:rPr>
      </w:pPr>
    </w:p>
    <w:p>
      <w:pPr>
        <w:rPr>
          <w:sz w:val="28"/>
          <w:szCs w:val="28"/>
        </w:rPr>
      </w:pPr>
    </w:p>
    <w:tbl>
      <w:tblPr>
        <w:tblStyle w:val="1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wBefore w:w="0" w:type="dxa"/>
          <w:wAfter w:w="0" w:type="dxa"/>
          <w:trHeight w:val="157" w:hRule="atLeast"/>
        </w:trPr>
        <w:tc>
          <w:tcPr>
            <w:tcW w:w="3762" w:type="dxa"/>
            <w:tcBorders>
              <w:top w:val="nil"/>
              <w:left w:val="nil"/>
              <w:bottom w:val="nil"/>
              <w:right w:val="nil"/>
            </w:tcBorders>
            <w:noWrap w:val="0"/>
            <w:vAlign w:val="top"/>
          </w:tcPr>
          <w:p>
            <w:pPr>
              <w:jc w:val="both"/>
              <w:rPr>
                <w:sz w:val="28"/>
                <w:szCs w:val="28"/>
              </w:rPr>
            </w:pPr>
            <w:r>
              <w:rPr>
                <w:sz w:val="28"/>
                <w:szCs w:val="28"/>
              </w:rPr>
              <w:t>О бюджете Богородского муниципального округа Нижегородской области на 2023 год и на плановый период 2024 и 2025 годов</w:t>
            </w:r>
          </w:p>
        </w:tc>
      </w:tr>
    </w:tbl>
    <w:p>
      <w:pPr>
        <w:rPr>
          <w:sz w:val="28"/>
          <w:szCs w:val="28"/>
        </w:rPr>
      </w:pPr>
    </w:p>
    <w:p>
      <w:pPr>
        <w:rPr>
          <w:sz w:val="28"/>
          <w:szCs w:val="28"/>
        </w:rPr>
      </w:pPr>
    </w:p>
    <w:p>
      <w:pPr>
        <w:rPr>
          <w:sz w:val="28"/>
          <w:szCs w:val="28"/>
        </w:rPr>
      </w:pPr>
    </w:p>
    <w:p>
      <w:pPr>
        <w:ind w:firstLine="709"/>
        <w:jc w:val="both"/>
        <w:rPr>
          <w:sz w:val="28"/>
          <w:szCs w:val="28"/>
        </w:rPr>
      </w:pPr>
      <w:r>
        <w:rPr>
          <w:sz w:val="28"/>
          <w:szCs w:val="28"/>
        </w:rPr>
        <w:t>Рассмотрев характеристики бюджета Богородского муниципального округа Нижегородской области (далее – бюджет муниципального округа) на 2023 год и на плановый период 2024 и 2025 годов, в соответствии со статьями 185, 187 Бюджетного кодекса Российской Федерации, Положением о бюджетном процессе в Богородском муниципальном округе Нижегородской области (далее – Богородский муниципальный округ), утвержденным решением Совета депутатов Богородского муниципального округа Нижегородской области от 09.10.2020 № 26,</w:t>
      </w:r>
    </w:p>
    <w:p>
      <w:pPr>
        <w:jc w:val="both"/>
        <w:rPr>
          <w:sz w:val="28"/>
          <w:szCs w:val="28"/>
        </w:rPr>
      </w:pPr>
      <w:r>
        <w:rPr>
          <w:sz w:val="28"/>
          <w:szCs w:val="28"/>
        </w:rPr>
        <w:t>Совет депутатов</w:t>
      </w:r>
      <w:r>
        <w:rPr>
          <w:b/>
          <w:sz w:val="28"/>
          <w:szCs w:val="28"/>
        </w:rPr>
        <w:t xml:space="preserve"> р е ш и л:</w:t>
      </w:r>
    </w:p>
    <w:p>
      <w:pPr>
        <w:pStyle w:val="41"/>
        <w:ind w:firstLine="709"/>
        <w:jc w:val="both"/>
        <w:rPr>
          <w:rFonts w:ascii="Times New Roman" w:hAnsi="Times New Roman" w:cs="Times New Roman"/>
          <w:sz w:val="28"/>
          <w:szCs w:val="28"/>
        </w:rPr>
      </w:pPr>
      <w:r>
        <w:rPr>
          <w:rFonts w:ascii="Times New Roman" w:hAnsi="Times New Roman" w:cs="Times New Roman"/>
          <w:b/>
          <w:bCs/>
          <w:sz w:val="28"/>
          <w:szCs w:val="28"/>
        </w:rPr>
        <w:t>Статья 1</w:t>
      </w:r>
    </w:p>
    <w:p>
      <w:pPr>
        <w:ind w:firstLine="709"/>
        <w:jc w:val="both"/>
        <w:rPr>
          <w:sz w:val="28"/>
          <w:szCs w:val="28"/>
        </w:rPr>
      </w:pPr>
      <w:r>
        <w:rPr>
          <w:sz w:val="28"/>
          <w:szCs w:val="28"/>
        </w:rPr>
        <w:t>1. Утвердить основные характеристики бюджета муниципального округа на 2023 год:</w:t>
      </w:r>
    </w:p>
    <w:p>
      <w:pPr>
        <w:ind w:firstLine="709"/>
        <w:jc w:val="both"/>
        <w:rPr>
          <w:sz w:val="28"/>
          <w:szCs w:val="28"/>
        </w:rPr>
      </w:pPr>
      <w:r>
        <w:rPr>
          <w:sz w:val="28"/>
          <w:szCs w:val="28"/>
        </w:rPr>
        <w:t>1) общий объем доходов в сумме 2 460 437,90 тыс. рублей;</w:t>
      </w:r>
    </w:p>
    <w:p>
      <w:pPr>
        <w:ind w:firstLine="709"/>
        <w:jc w:val="both"/>
        <w:rPr>
          <w:sz w:val="28"/>
          <w:szCs w:val="28"/>
        </w:rPr>
      </w:pPr>
      <w:r>
        <w:rPr>
          <w:sz w:val="28"/>
          <w:szCs w:val="28"/>
        </w:rPr>
        <w:t>2) общий объем расходов в сумме 2 510 437,90 тыс. рублей;</w:t>
      </w:r>
    </w:p>
    <w:p>
      <w:pPr>
        <w:ind w:firstLine="709"/>
        <w:jc w:val="both"/>
        <w:rPr>
          <w:sz w:val="28"/>
          <w:szCs w:val="28"/>
        </w:rPr>
      </w:pPr>
      <w:r>
        <w:rPr>
          <w:sz w:val="28"/>
          <w:szCs w:val="28"/>
        </w:rPr>
        <w:t>3) размер дефицита бюджета муниципального округа в сумме 50 000,00 тыс. рублей.</w:t>
      </w:r>
    </w:p>
    <w:p>
      <w:pPr>
        <w:ind w:firstLine="709"/>
        <w:jc w:val="both"/>
        <w:rPr>
          <w:sz w:val="28"/>
          <w:szCs w:val="28"/>
        </w:rPr>
      </w:pPr>
      <w:r>
        <w:rPr>
          <w:sz w:val="28"/>
          <w:szCs w:val="28"/>
        </w:rPr>
        <w:t>2. Утвердить основные характеристики бюджета муниципального округа на плановый период 2024 и 2025 годов:</w:t>
      </w:r>
    </w:p>
    <w:p>
      <w:pPr>
        <w:ind w:firstLine="709"/>
        <w:jc w:val="both"/>
        <w:rPr>
          <w:sz w:val="28"/>
          <w:szCs w:val="28"/>
        </w:rPr>
      </w:pPr>
      <w:r>
        <w:rPr>
          <w:sz w:val="28"/>
          <w:szCs w:val="28"/>
        </w:rPr>
        <w:t>1) общий объем доходов на 2024 год в сумме 2 358 016,90 тыс. рублей, на 2025 год в сумме 2 354 193,70 тыс. рублей;</w:t>
      </w:r>
    </w:p>
    <w:p>
      <w:pPr>
        <w:ind w:firstLine="709"/>
        <w:jc w:val="both"/>
        <w:rPr>
          <w:sz w:val="28"/>
          <w:szCs w:val="28"/>
        </w:rPr>
      </w:pPr>
      <w:r>
        <w:rPr>
          <w:sz w:val="28"/>
          <w:szCs w:val="28"/>
        </w:rPr>
        <w:t>2) общий объем расходов на 2024 год в сумме 2 358 016,90 тыс. рублей, в том числе условно утверждаемые расходы в сумме 31 000,00 тыс. рублей, на 2025 год в сумме 2 354 193,70 тыс. рублей, в том числе условно утверждаемые расходы в сумме 62 000,00 тыс. рублей;</w:t>
      </w:r>
    </w:p>
    <w:p>
      <w:pPr>
        <w:ind w:firstLine="709"/>
        <w:jc w:val="both"/>
        <w:rPr>
          <w:sz w:val="28"/>
          <w:szCs w:val="28"/>
        </w:rPr>
      </w:pPr>
      <w:r>
        <w:rPr>
          <w:sz w:val="28"/>
          <w:szCs w:val="28"/>
        </w:rPr>
        <w:t xml:space="preserve">3) размер дефицита (профицита) бюджета муниципального округа на 2024 год в сумме 0,00 тыс. рублей, размер дефицита (профицита) бюджета муниципального округа на 2025 год в сумме 0,00 тыс. рублей. </w:t>
      </w:r>
    </w:p>
    <w:p>
      <w:pPr>
        <w:pStyle w:val="41"/>
        <w:ind w:firstLine="709"/>
        <w:jc w:val="both"/>
        <w:rPr>
          <w:rFonts w:ascii="Times New Roman" w:hAnsi="Times New Roman" w:cs="Times New Roman"/>
          <w:sz w:val="28"/>
          <w:szCs w:val="28"/>
        </w:rPr>
      </w:pPr>
      <w:r>
        <w:rPr>
          <w:rFonts w:ascii="Times New Roman" w:hAnsi="Times New Roman" w:cs="Times New Roman"/>
          <w:b/>
          <w:bCs/>
          <w:sz w:val="28"/>
          <w:szCs w:val="28"/>
        </w:rPr>
        <w:t>Статья 2</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2023 год и на плановый период 2024 и 2025 годов согласно приложению 1.</w:t>
      </w:r>
    </w:p>
    <w:p>
      <w:pPr>
        <w:pStyle w:val="41"/>
        <w:ind w:firstLine="709"/>
        <w:jc w:val="both"/>
        <w:rPr>
          <w:rFonts w:ascii="Times New Roman" w:hAnsi="Times New Roman" w:cs="Times New Roman"/>
          <w:sz w:val="28"/>
          <w:szCs w:val="28"/>
        </w:rPr>
      </w:pPr>
      <w:r>
        <w:rPr>
          <w:rFonts w:ascii="Times New Roman" w:hAnsi="Times New Roman" w:cs="Times New Roman"/>
          <w:b/>
          <w:bCs/>
          <w:sz w:val="28"/>
          <w:szCs w:val="28"/>
        </w:rPr>
        <w:t>Статья 3</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Утвердить общий объем налоговых и неналоговых доходов:</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1) на 2023 год в сумме 742 393,40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707 600,90 тыс. рублей;</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2) на 2024 год в сумме 861 580,90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826 046,70 тыс. рублей;</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3) на 2025 год в сумме 943 683,60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904 606,40 тыс. рублей.</w:t>
      </w:r>
    </w:p>
    <w:p>
      <w:pPr>
        <w:pStyle w:val="41"/>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4</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Утвердить объем безвозмездных поступлений, получаемых из других бюджетов бюджетной системы Российской Федерации:</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1) на 2023 год в сумме 1 718 044,50 тыс. рублей, в том числе объем субсидий, субвенций и иных межбюджетных трансфертов, имеющих целевое назначение, в сумме 1 252 672,20 тыс. рублей;</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2) на 2024 год в сумме 1 496 436,00 тыс. рублей, в том числе объем субсидий, субвенций и иных межбюджетных трансфертов, имеющих целевое назначение, в сумме 1 125 910,30 тыс. рублей;</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3) на 2025 год в сумме 1 410 510,10 тыс. рублей, в том числе объем субсидий, субвенций и иных межбюджетных трансфертов, имеющих целевое назначение, в сумме 1 126 123,60 тыс. рублей.</w:t>
      </w:r>
    </w:p>
    <w:p>
      <w:pPr>
        <w:pStyle w:val="41"/>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5</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1. Доходы от погашения задолженности и перерасчетов по отмененным налогам и сборам зачисляются в бюджет муниципального округа по нормативам согласно приложению 2.</w:t>
      </w:r>
    </w:p>
    <w:p>
      <w:pPr>
        <w:pStyle w:val="41"/>
        <w:ind w:firstLine="709"/>
        <w:jc w:val="both"/>
        <w:outlineLvl w:val="0"/>
        <w:rPr>
          <w:rFonts w:ascii="Times New Roman" w:hAnsi="Times New Roman" w:cs="Times New Roman"/>
          <w:sz w:val="28"/>
          <w:szCs w:val="28"/>
        </w:rPr>
      </w:pPr>
      <w:r>
        <w:rPr>
          <w:rFonts w:ascii="Times New Roman" w:hAnsi="Times New Roman" w:cs="Times New Roman"/>
          <w:sz w:val="28"/>
          <w:szCs w:val="28"/>
        </w:rPr>
        <w:t>2. Прочие доходы от оказания платных услуг (работ) получателями средств бюджета муниципального округа зачисляются в бюджет муниципального округа по нормативу 100 процентов.</w:t>
      </w:r>
    </w:p>
    <w:p>
      <w:pPr>
        <w:pStyle w:val="41"/>
        <w:ind w:firstLine="709"/>
        <w:jc w:val="both"/>
        <w:outlineLvl w:val="0"/>
        <w:rPr>
          <w:rFonts w:ascii="Times New Roman" w:hAnsi="Times New Roman" w:cs="Times New Roman"/>
          <w:sz w:val="28"/>
          <w:szCs w:val="28"/>
        </w:rPr>
      </w:pPr>
      <w:r>
        <w:rPr>
          <w:rFonts w:ascii="Times New Roman" w:hAnsi="Times New Roman" w:cs="Times New Roman"/>
          <w:sz w:val="28"/>
          <w:szCs w:val="28"/>
        </w:rPr>
        <w:t>3. Доходы от компенсации затрат бюджета муниципального округа зачисляются в бюджет муниципального округа по нормативу 100 процентов.</w:t>
      </w:r>
    </w:p>
    <w:p>
      <w:pPr>
        <w:pStyle w:val="41"/>
        <w:ind w:firstLine="709"/>
        <w:jc w:val="both"/>
        <w:outlineLvl w:val="0"/>
        <w:rPr>
          <w:rFonts w:ascii="Times New Roman" w:hAnsi="Times New Roman" w:cs="Times New Roman"/>
          <w:sz w:val="28"/>
          <w:szCs w:val="28"/>
        </w:rPr>
      </w:pPr>
      <w:r>
        <w:rPr>
          <w:rFonts w:ascii="Times New Roman" w:hAnsi="Times New Roman" w:cs="Times New Roman"/>
          <w:sz w:val="28"/>
          <w:szCs w:val="28"/>
        </w:rPr>
        <w:t>4. Платежи, взимаемые органами местного самоуправления Богородского муниципального округа, зачисляются в бюджет муниципального округа по нормативу 100 процентов.</w:t>
      </w:r>
    </w:p>
    <w:p>
      <w:pPr>
        <w:pStyle w:val="41"/>
        <w:ind w:firstLine="709"/>
        <w:jc w:val="both"/>
        <w:outlineLvl w:val="0"/>
        <w:rPr>
          <w:rFonts w:ascii="Times New Roman" w:hAnsi="Times New Roman" w:cs="Times New Roman"/>
          <w:sz w:val="28"/>
          <w:szCs w:val="28"/>
        </w:rPr>
      </w:pPr>
      <w:r>
        <w:rPr>
          <w:rFonts w:ascii="Times New Roman" w:hAnsi="Times New Roman" w:cs="Times New Roman"/>
          <w:sz w:val="28"/>
          <w:szCs w:val="28"/>
        </w:rPr>
        <w:t>5. Доходы от возмещения ущерба при возникновении страховых случаев, когда выгодоприобретателями выступают получатели средств бюджета муниципального округа, зачисляются в бюджет муниципального округа по нормативу 100 процентов.</w:t>
      </w:r>
    </w:p>
    <w:p>
      <w:pPr>
        <w:pStyle w:val="41"/>
        <w:ind w:firstLine="709"/>
        <w:jc w:val="both"/>
        <w:outlineLvl w:val="0"/>
        <w:rPr>
          <w:rFonts w:ascii="Times New Roman" w:hAnsi="Times New Roman" w:cs="Times New Roman"/>
          <w:sz w:val="28"/>
          <w:szCs w:val="28"/>
        </w:rPr>
      </w:pPr>
      <w:r>
        <w:rPr>
          <w:rFonts w:ascii="Times New Roman" w:hAnsi="Times New Roman" w:cs="Times New Roman"/>
          <w:sz w:val="28"/>
          <w:szCs w:val="28"/>
        </w:rPr>
        <w:t>6. Невыясненные поступления в бюджет муниципального округа зачисляются в бюджет муниципального округа по нормативу 100 процентов.</w:t>
      </w:r>
    </w:p>
    <w:p>
      <w:pPr>
        <w:pStyle w:val="41"/>
        <w:ind w:firstLine="709"/>
        <w:jc w:val="both"/>
        <w:outlineLvl w:val="0"/>
        <w:rPr>
          <w:rFonts w:ascii="Times New Roman" w:hAnsi="Times New Roman" w:cs="Times New Roman"/>
          <w:sz w:val="28"/>
          <w:szCs w:val="28"/>
        </w:rPr>
      </w:pPr>
      <w:r>
        <w:rPr>
          <w:rFonts w:ascii="Times New Roman" w:hAnsi="Times New Roman" w:cs="Times New Roman"/>
          <w:sz w:val="28"/>
          <w:szCs w:val="28"/>
        </w:rPr>
        <w:t>7. Возмещение потерь сельскохозяйственного производства, связанных с изъятием сельскохозяйственных угодий, расположенных на территории Богородского муниципального округа (по обязательствам, возникшим до 1 января 2008 года), зачисляются в бюджет муниципального округа по нормативу 100 процентов.</w:t>
      </w:r>
    </w:p>
    <w:p>
      <w:pPr>
        <w:pStyle w:val="41"/>
        <w:ind w:firstLine="709"/>
        <w:jc w:val="both"/>
        <w:outlineLvl w:val="0"/>
        <w:rPr>
          <w:rFonts w:ascii="Times New Roman" w:hAnsi="Times New Roman" w:cs="Times New Roman"/>
          <w:sz w:val="28"/>
          <w:szCs w:val="28"/>
        </w:rPr>
      </w:pPr>
      <w:r>
        <w:rPr>
          <w:rFonts w:ascii="Times New Roman" w:hAnsi="Times New Roman" w:cs="Times New Roman"/>
          <w:sz w:val="28"/>
          <w:szCs w:val="28"/>
        </w:rPr>
        <w:t>8. Прочие неналоговые доходы бюджета муниципального округа зачисляются в бюджет муниципального округа по нормативу 100 процентов.</w:t>
      </w:r>
    </w:p>
    <w:p>
      <w:pPr>
        <w:pStyle w:val="41"/>
        <w:ind w:firstLine="709"/>
        <w:jc w:val="both"/>
        <w:outlineLvl w:val="0"/>
        <w:rPr>
          <w:rFonts w:ascii="Times New Roman" w:hAnsi="Times New Roman" w:cs="Times New Roman"/>
          <w:sz w:val="28"/>
          <w:szCs w:val="28"/>
        </w:rPr>
      </w:pPr>
      <w:r>
        <w:rPr>
          <w:rFonts w:ascii="Times New Roman" w:hAnsi="Times New Roman" w:cs="Times New Roman"/>
          <w:sz w:val="28"/>
          <w:szCs w:val="28"/>
        </w:rPr>
        <w:t>9. Средства самообложения граждан Богородского муниципального округа зачисляются в бюджет муниципального округа по нормативу 100 процентов.</w:t>
      </w:r>
    </w:p>
    <w:p>
      <w:pPr>
        <w:pStyle w:val="41"/>
        <w:ind w:firstLine="709"/>
        <w:jc w:val="both"/>
        <w:outlineLvl w:val="0"/>
        <w:rPr>
          <w:rFonts w:ascii="Times New Roman" w:hAnsi="Times New Roman" w:cs="Times New Roman"/>
          <w:sz w:val="28"/>
          <w:szCs w:val="28"/>
        </w:rPr>
      </w:pPr>
      <w:r>
        <w:rPr>
          <w:rFonts w:ascii="Times New Roman" w:hAnsi="Times New Roman" w:cs="Times New Roman"/>
          <w:sz w:val="28"/>
          <w:szCs w:val="28"/>
        </w:rPr>
        <w:t>10. Платежи в целях возмещения убытков, причиненных уклонением от заключения с муниципальными органами (муниципальными казенными учреждениями) Богородского муниципального округа государственного (муниципального) контракта, а также иные денежные средства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зачисляются в бюджет муниципального округа по нормативу 100 процентов.</w:t>
      </w:r>
    </w:p>
    <w:p>
      <w:pPr>
        <w:pStyle w:val="41"/>
        <w:ind w:firstLine="709"/>
        <w:jc w:val="both"/>
        <w:outlineLvl w:val="0"/>
        <w:rPr>
          <w:rFonts w:ascii="Times New Roman" w:hAnsi="Times New Roman" w:cs="Times New Roman"/>
          <w:sz w:val="28"/>
          <w:szCs w:val="28"/>
        </w:rPr>
      </w:pPr>
      <w:r>
        <w:rPr>
          <w:rFonts w:ascii="Times New Roman" w:hAnsi="Times New Roman" w:cs="Times New Roman"/>
          <w:sz w:val="28"/>
          <w:szCs w:val="28"/>
        </w:rPr>
        <w:t>11. Платежи в целях возмещения ущерба при расторжении заключенного с муниципальными органами (муниципальными казенными учреждениями) Богородского муниципального округа государственного (муниципального) контракта в связи с односторонним отказом исполнителя (подрядчика) от его исполнения зачисляются в бюджет муниципального округа по нормативу 100 процентов.</w:t>
      </w:r>
    </w:p>
    <w:p>
      <w:pPr>
        <w:pStyle w:val="41"/>
        <w:ind w:firstLine="709"/>
        <w:jc w:val="both"/>
        <w:outlineLvl w:val="0"/>
        <w:rPr>
          <w:rFonts w:ascii="Times New Roman" w:hAnsi="Times New Roman" w:cs="Times New Roman"/>
          <w:sz w:val="28"/>
          <w:szCs w:val="28"/>
        </w:rPr>
      </w:pPr>
      <w:r>
        <w:rPr>
          <w:rFonts w:ascii="Times New Roman" w:hAnsi="Times New Roman" w:cs="Times New Roman"/>
          <w:sz w:val="28"/>
          <w:szCs w:val="28"/>
        </w:rPr>
        <w:t>12. Денежные взыскания, налагаемые в возмещение ущерба, причиненного в результате незаконного или нецелевого использования средств бюджета муниципального округа, зачисляются в бюджет муниципального округа по нормативу 100 процентов.</w:t>
      </w:r>
    </w:p>
    <w:p>
      <w:pPr>
        <w:pStyle w:val="41"/>
        <w:ind w:firstLine="709"/>
        <w:jc w:val="both"/>
        <w:outlineLvl w:val="0"/>
        <w:rPr>
          <w:rFonts w:ascii="Times New Roman" w:hAnsi="Times New Roman" w:cs="Times New Roman"/>
          <w:sz w:val="28"/>
          <w:szCs w:val="28"/>
        </w:rPr>
      </w:pPr>
      <w:r>
        <w:rPr>
          <w:rFonts w:ascii="Times New Roman" w:hAnsi="Times New Roman" w:cs="Times New Roman"/>
          <w:sz w:val="28"/>
          <w:szCs w:val="28"/>
        </w:rPr>
        <w:t>13. Инициативные платежи Богородского муниципального округа зачисляются в бюджет муниципального округа по нормативу 100 процентов.</w:t>
      </w:r>
    </w:p>
    <w:p>
      <w:pPr>
        <w:pStyle w:val="41"/>
        <w:ind w:firstLine="709"/>
        <w:jc w:val="both"/>
        <w:outlineLvl w:val="0"/>
        <w:rPr>
          <w:rFonts w:ascii="Times New Roman" w:hAnsi="Times New Roman" w:cs="Times New Roman"/>
          <w:b/>
          <w:sz w:val="28"/>
          <w:szCs w:val="28"/>
        </w:rPr>
      </w:pPr>
      <w:r>
        <w:rPr>
          <w:rFonts w:ascii="Times New Roman" w:hAnsi="Times New Roman" w:cs="Times New Roman"/>
          <w:b/>
          <w:bCs/>
          <w:sz w:val="28"/>
          <w:szCs w:val="28"/>
        </w:rPr>
        <w:t xml:space="preserve">Статья 6 </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1. Установить минимальный размер отчисления в бюджет муниципального округа части прибыли муниципальных предприятий Богородского муниципального округа, остающейся после уплаты налогов и иных обязательных платежей в бюджет муниципального округа, 30 процентов.</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2. Конкретный размер части прибыли муниципальных предприятий Богородского муниципального округа, подлежащей перечислению в бюджет муниципального округа, определяется в соответствии с Положением о порядке определения размера и перечисления в бюджет Богородского муниципального округа части прибыли, остающейся в распоряжении муниципальных предприятий после уплаты налогов и иных обязательных платежей согласно приложению 10.</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3. Муниципальные предприятия Богородского муниципального округа, включенные в прогнозный план (программу) приватизации муниципального имущества Богородского муниципального округа или подлежащие реорганизации, обязаны до приватизации (реорганизации) перечислить в соответствующем году в бюджет муниципального округа часть прибыли, подлежащей зачислению в бюджет муниципального округа за предшествующие периоды.</w:t>
      </w:r>
    </w:p>
    <w:p>
      <w:pPr>
        <w:pStyle w:val="41"/>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w:t>
      </w:r>
      <w:r>
        <w:rPr>
          <w:rFonts w:ascii="Times New Roman" w:hAnsi="Times New Roman" w:cs="Times New Roman"/>
          <w:b/>
          <w:bCs/>
          <w:sz w:val="28"/>
          <w:szCs w:val="28"/>
          <w:lang w:val="en-US"/>
        </w:rPr>
        <w:t> </w:t>
      </w:r>
      <w:r>
        <w:rPr>
          <w:rFonts w:ascii="Times New Roman" w:hAnsi="Times New Roman" w:cs="Times New Roman"/>
          <w:b/>
          <w:bCs/>
          <w:sz w:val="28"/>
          <w:szCs w:val="28"/>
        </w:rPr>
        <w:t>7</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Утвердить источники финансирования дефицита бюджета муниципального округа на 2023 год и на плановый период 2024 и 2025 годов согласно приложению 3.</w:t>
      </w:r>
    </w:p>
    <w:p>
      <w:pPr>
        <w:pStyle w:val="41"/>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8</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1. Утвердить в пределах общего объема расходов, утвержденного статьей 1 настоящего решения:</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1)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2023 год и на плановый период 2024 и 2025 годов согласно приложению 4;</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 xml:space="preserve">2) ведомственную структуру расходов бюджета муниципального округа на 2023 год и на плановый период 2024 и 2025 годов </w:t>
      </w:r>
      <w:r>
        <w:rPr>
          <w:rFonts w:ascii="Times New Roman" w:hAnsi="Times New Roman" w:eastAsia="MS Mincho" w:cs="Times New Roman"/>
          <w:sz w:val="28"/>
          <w:szCs w:val="28"/>
        </w:rPr>
        <w:t>согласно приложению 5;</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 xml:space="preserve">3) распределение бюджетных ассигнований по разделам, подразделам классификации расходов бюджета на 2023 год и на плановый период 2024 и 2025 годов </w:t>
      </w:r>
      <w:r>
        <w:rPr>
          <w:rFonts w:ascii="Times New Roman" w:hAnsi="Times New Roman" w:eastAsia="MS Mincho" w:cs="Times New Roman"/>
          <w:sz w:val="28"/>
          <w:szCs w:val="28"/>
        </w:rPr>
        <w:t>согласно приложению 6.</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2. Утвердить резервные фонды администрации Богородского муниципального округа на 2023 год в сумме 53 174,64 тыс. рублей, на 2024 год в сумме 14 158,19 тыс. рублей, на 2025 год в сумме 20 818,09 тыс. рублей.</w:t>
      </w:r>
    </w:p>
    <w:p>
      <w:pPr>
        <w:pStyle w:val="41"/>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9</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1. Утвердить общий объем бюджетных ассигнований на исполнение публичных нормативных обязательств на 2023 год в сумме 1 062,00 тыс. рублей, на 2024 год в сумме 1 062,00 тыс. рублей, на 2025 год в сумме 1 062,00 тыс. рублей.</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2. Утвердить перечень публичных нормативных обязательств, подлежащих исполнению за счет средств бюджета муниципального округа на 2023 год и на плановый период 2024 и 2025 годов</w:t>
      </w:r>
      <w:r>
        <w:rPr>
          <w:rFonts w:ascii="Times New Roman" w:hAnsi="Times New Roman" w:cs="Times New Roman"/>
          <w:bCs/>
          <w:sz w:val="28"/>
          <w:szCs w:val="28"/>
        </w:rPr>
        <w:t xml:space="preserve">, </w:t>
      </w:r>
      <w:r>
        <w:rPr>
          <w:rFonts w:ascii="Times New Roman" w:hAnsi="Times New Roman" w:eastAsia="MS Mincho" w:cs="Times New Roman"/>
          <w:sz w:val="28"/>
          <w:szCs w:val="28"/>
        </w:rPr>
        <w:t xml:space="preserve">согласно приложению </w:t>
      </w:r>
      <w:r>
        <w:rPr>
          <w:rFonts w:ascii="Times New Roman" w:hAnsi="Times New Roman" w:cs="Times New Roman"/>
          <w:sz w:val="28"/>
          <w:szCs w:val="28"/>
        </w:rPr>
        <w:t>7.</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3. Приостановить до 31.12.2023 действие Решения Земского собрания Богородского муниципального района Нижегородской области от 15.02.2018 № 11 «Об установлении дополнительных мер социальной поддержки отдельным гражданам Богородского муниципального района Нижегородской области», Решения Земского собрания Богородского муниципального района Нижегородской области от 27.03.2014 №29 «О дополнительных мерах социальной поддержки (социальной помощи) малоимущих граждан при газификации домовладений», Решение Земского собрания Богородского муниципального района Нижегородской области от 24.05.2012 № 58 «О мерах социальной поддержки отдельных категорий граждан, проживающих на территории Богородского муниципального района Нижегородской области».</w:t>
      </w:r>
    </w:p>
    <w:p>
      <w:pPr>
        <w:pStyle w:val="41"/>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10</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 xml:space="preserve">1. Установить, что в 2023 году Финансовым управлением администрации Богородского муниципального округа Нижегородской области осуществляется казначейское сопровождение средств, указанных в части 2 настоящей статьи, </w:t>
      </w:r>
      <w:r>
        <w:rPr>
          <w:rFonts w:ascii="Times New Roman" w:hAnsi="Times New Roman" w:cs="Times New Roman"/>
          <w:color w:val="000000"/>
          <w:sz w:val="28"/>
          <w:szCs w:val="28"/>
        </w:rPr>
        <w:t>предоставляемых на основании муниципальных контрактов (контрактов, договоров, соглашений)</w:t>
      </w:r>
      <w:r>
        <w:rPr>
          <w:color w:val="000000"/>
          <w:sz w:val="28"/>
          <w:szCs w:val="28"/>
        </w:rPr>
        <w:t xml:space="preserve"> </w:t>
      </w:r>
      <w:r>
        <w:rPr>
          <w:rFonts w:ascii="Times New Roman" w:hAnsi="Times New Roman" w:cs="Times New Roman"/>
          <w:sz w:val="28"/>
          <w:szCs w:val="28"/>
        </w:rPr>
        <w:t>(далее – целевые средства).</w:t>
      </w:r>
    </w:p>
    <w:p>
      <w:pPr>
        <w:ind w:firstLine="709"/>
        <w:jc w:val="both"/>
        <w:rPr>
          <w:sz w:val="28"/>
          <w:szCs w:val="28"/>
        </w:rPr>
      </w:pPr>
      <w:r>
        <w:rPr>
          <w:sz w:val="28"/>
          <w:szCs w:val="28"/>
        </w:rPr>
        <w:t>При казначейском сопровождении целевых средств Финансовое управление администрации Богородского муниципального округа Нижегородской области осуществляет санкционирование операций в установленном им порядке.</w:t>
      </w:r>
    </w:p>
    <w:p>
      <w:pPr>
        <w:ind w:firstLine="709"/>
        <w:jc w:val="both"/>
        <w:rPr>
          <w:sz w:val="28"/>
          <w:szCs w:val="28"/>
        </w:rPr>
      </w:pPr>
      <w:r>
        <w:rPr>
          <w:sz w:val="28"/>
          <w:szCs w:val="28"/>
        </w:rPr>
        <w:t>2. Установить, что казначейскому сопровождению подлежат:</w:t>
      </w:r>
    </w:p>
    <w:p>
      <w:pPr>
        <w:ind w:firstLine="709"/>
        <w:jc w:val="both"/>
        <w:rPr>
          <w:sz w:val="28"/>
          <w:szCs w:val="28"/>
        </w:rPr>
      </w:pPr>
      <w:r>
        <w:rPr>
          <w:sz w:val="28"/>
          <w:szCs w:val="28"/>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pPr>
        <w:ind w:firstLine="709"/>
        <w:jc w:val="both"/>
        <w:rPr>
          <w:sz w:val="28"/>
          <w:szCs w:val="28"/>
        </w:rPr>
      </w:pPr>
      <w:r>
        <w:rPr>
          <w:sz w:val="28"/>
          <w:szCs w:val="28"/>
        </w:rP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pPr>
        <w:ind w:firstLine="709"/>
        <w:jc w:val="both"/>
        <w:rPr>
          <w:sz w:val="28"/>
          <w:szCs w:val="28"/>
        </w:rPr>
      </w:pPr>
      <w:r>
        <w:rPr>
          <w:sz w:val="28"/>
          <w:szCs w:val="28"/>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pPr>
        <w:ind w:firstLine="709"/>
        <w:jc w:val="both"/>
        <w:rPr>
          <w:sz w:val="28"/>
          <w:szCs w:val="28"/>
        </w:rPr>
      </w:pPr>
      <w:r>
        <w:rPr>
          <w:sz w:val="28"/>
          <w:szCs w:val="28"/>
        </w:rP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и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 50 000,00 тыс. рублей;</w:t>
      </w:r>
    </w:p>
    <w:p>
      <w:pPr>
        <w:ind w:firstLine="709"/>
        <w:jc w:val="both"/>
        <w:rPr>
          <w:sz w:val="28"/>
          <w:szCs w:val="28"/>
        </w:rPr>
      </w:pPr>
      <w:r>
        <w:rPr>
          <w:sz w:val="28"/>
          <w:szCs w:val="28"/>
        </w:rPr>
        <w:t>5) авансовые платежи по муниципальным контрактам о поставке товаров, выполнении работ, оказании услуг, заключаемым на сумму свыше 50 000,00 тыс. рублей;</w:t>
      </w:r>
    </w:p>
    <w:p>
      <w:pPr>
        <w:ind w:firstLine="709"/>
        <w:jc w:val="both"/>
        <w:rPr>
          <w:sz w:val="28"/>
          <w:szCs w:val="28"/>
        </w:rPr>
      </w:pPr>
      <w:r>
        <w:rPr>
          <w:sz w:val="28"/>
          <w:szCs w:val="28"/>
        </w:rPr>
        <w:t>6) авансовые платежи по контрактам (договорам) о поставке товаров, выполнении работ, оказании услуг, заключаемым на сумму свыше 50 000,00 тыс. рублей муниципальными бюджетными и автономными учреждениями, лицевые счета которым открыты в Финансовом управлении администрации Богородского муниципального округа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Нижегородской области и Богородского муниципального округа на указанные лицевые счета;</w:t>
      </w:r>
    </w:p>
    <w:p>
      <w:pPr>
        <w:ind w:firstLine="709"/>
        <w:jc w:val="both"/>
        <w:rPr>
          <w:sz w:val="28"/>
          <w:szCs w:val="28"/>
        </w:rPr>
      </w:pPr>
      <w:r>
        <w:rPr>
          <w:sz w:val="28"/>
          <w:szCs w:val="28"/>
        </w:rPr>
        <w:t>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4-6 настоящей части контрактов (договоров), если сумма контракта (договора), заключаемого исполнителем с соисполнителем превышает 50 000,00 тыс. рублей;</w:t>
      </w:r>
    </w:p>
    <w:p>
      <w:pPr>
        <w:ind w:firstLine="709"/>
        <w:jc w:val="both"/>
        <w:rPr>
          <w:sz w:val="28"/>
          <w:szCs w:val="28"/>
        </w:rPr>
      </w:pPr>
      <w:r>
        <w:rPr>
          <w:sz w:val="28"/>
          <w:szCs w:val="28"/>
        </w:rPr>
        <w:t>8) муниципальные контракты (договоры)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Богородского муниципального округа Нижегородской области.</w:t>
      </w:r>
    </w:p>
    <w:p>
      <w:pPr>
        <w:ind w:firstLine="709"/>
        <w:jc w:val="both"/>
        <w:rPr>
          <w:sz w:val="28"/>
          <w:szCs w:val="28"/>
        </w:rPr>
      </w:pPr>
      <w:r>
        <w:rPr>
          <w:sz w:val="28"/>
          <w:szCs w:val="28"/>
        </w:rPr>
        <w:t>3. Положения части 2 настоящей статьи не распространяются на средства:</w:t>
      </w:r>
    </w:p>
    <w:p>
      <w:pPr>
        <w:ind w:firstLine="709"/>
        <w:jc w:val="both"/>
        <w:rPr>
          <w:sz w:val="28"/>
          <w:szCs w:val="28"/>
        </w:rPr>
      </w:pPr>
      <w:r>
        <w:rPr>
          <w:sz w:val="28"/>
          <w:szCs w:val="28"/>
        </w:rPr>
        <w:t>1) предоставляемые из бюджета муниципального округа:</w:t>
      </w:r>
    </w:p>
    <w:p>
      <w:pPr>
        <w:ind w:firstLine="709"/>
        <w:jc w:val="both"/>
        <w:rPr>
          <w:sz w:val="28"/>
          <w:szCs w:val="28"/>
        </w:rPr>
      </w:pPr>
      <w:r>
        <w:rPr>
          <w:sz w:val="28"/>
          <w:szCs w:val="28"/>
        </w:rPr>
        <w:t>а) участникам казначейского сопровождения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pPr>
        <w:pStyle w:val="41"/>
        <w:ind w:firstLine="709"/>
        <w:rPr>
          <w:rFonts w:ascii="Times New Roman" w:hAnsi="Times New Roman" w:cs="Times New Roman"/>
          <w:bCs/>
          <w:sz w:val="28"/>
          <w:szCs w:val="28"/>
        </w:rPr>
      </w:pPr>
      <w:r>
        <w:rPr>
          <w:rFonts w:ascii="Times New Roman" w:hAnsi="Times New Roman" w:cs="Times New Roman"/>
          <w:bCs/>
          <w:sz w:val="28"/>
          <w:szCs w:val="28"/>
        </w:rPr>
        <w:t xml:space="preserve">б) на возмещение затрат, связанных с поощрением организаций агропромышленного комплекса Богородского муниципального округа Нижегородской области; </w:t>
      </w:r>
    </w:p>
    <w:p>
      <w:pPr>
        <w:ind w:firstLine="709"/>
        <w:jc w:val="both"/>
        <w:rPr>
          <w:sz w:val="28"/>
          <w:szCs w:val="28"/>
        </w:rPr>
      </w:pPr>
      <w:r>
        <w:rPr>
          <w:sz w:val="28"/>
          <w:szCs w:val="28"/>
        </w:rPr>
        <w:t>в)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 7-ФЗ «О некоммерческих организациях», а также некоммерческим организациям осуществляющим деятельность спортивной направленности</w:t>
      </w:r>
      <w:r>
        <w:rPr>
          <w:iCs/>
          <w:sz w:val="28"/>
          <w:szCs w:val="28"/>
        </w:rPr>
        <w:t xml:space="preserve"> на финансовое обеспечение затрат на общественно-полезные мероприятия спортивной направленности</w:t>
      </w:r>
      <w:r>
        <w:rPr>
          <w:sz w:val="28"/>
          <w:szCs w:val="28"/>
        </w:rPr>
        <w:t>;</w:t>
      </w:r>
    </w:p>
    <w:p>
      <w:pPr>
        <w:ind w:firstLine="709"/>
        <w:jc w:val="both"/>
        <w:rPr>
          <w:sz w:val="28"/>
          <w:szCs w:val="28"/>
        </w:rPr>
      </w:pPr>
      <w:r>
        <w:rPr>
          <w:sz w:val="28"/>
          <w:szCs w:val="28"/>
        </w:rPr>
        <w:t>2) предоставляемые на основании муниципальных контрактов (контрактов, договоров, соглашений), заключаемых:</w:t>
      </w:r>
    </w:p>
    <w:p>
      <w:pPr>
        <w:ind w:firstLine="709"/>
        <w:jc w:val="both"/>
        <w:rPr>
          <w:sz w:val="28"/>
          <w:szCs w:val="28"/>
        </w:rPr>
      </w:pPr>
      <w:r>
        <w:rPr>
          <w:sz w:val="28"/>
          <w:szCs w:val="28"/>
        </w:rPr>
        <w:t>а)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авиационных и железнодорожных билетов, билетов для проезда городским и пригородным транспортом, бронирования мест и проживания в гостиницах, подписки на периодические издания,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(смен),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организации презентаций  Богородского муниципального округа,  проведения мероприятий по ликвидации чрезвычайных ситуаций, выполнения работ по мобилизационной подготовке, приобретения жилых помещений для обеспечения ими детей-сирот и детей, оставшихся без попечения родителей,  в целях приобретения  услуг по  приему  платежей от физических лиц, осуществляемых платежными агентами;</w:t>
      </w:r>
    </w:p>
    <w:p>
      <w:pPr>
        <w:ind w:firstLine="709"/>
        <w:jc w:val="both"/>
        <w:rPr>
          <w:sz w:val="28"/>
          <w:szCs w:val="28"/>
        </w:rPr>
      </w:pPr>
      <w:r>
        <w:rPr>
          <w:sz w:val="28"/>
          <w:szCs w:val="28"/>
        </w:rPr>
        <w:t>б)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исполнение которых подлежит банковскому сопровождению;</w:t>
      </w:r>
    </w:p>
    <w:p>
      <w:pPr>
        <w:ind w:firstLine="709"/>
        <w:jc w:val="both"/>
        <w:rPr>
          <w:sz w:val="28"/>
          <w:szCs w:val="28"/>
        </w:rPr>
      </w:pPr>
      <w:r>
        <w:rPr>
          <w:sz w:val="28"/>
          <w:szCs w:val="28"/>
        </w:rPr>
        <w:t>в) в целях проведения мероприятий по борьбе с распространением новой коронавирусной инфекции (COVID-19) на территории Богородского муниципального округа Нижегородской области при условии, что сумма авансового платежа не превышает 30 процентов от суммы муниципального контракта (контракта, договора, соглашения).</w:t>
      </w:r>
    </w:p>
    <w:p>
      <w:pPr>
        <w:ind w:firstLine="709"/>
        <w:jc w:val="both"/>
        <w:rPr>
          <w:sz w:val="28"/>
          <w:szCs w:val="28"/>
        </w:rPr>
      </w:pPr>
      <w:r>
        <w:rPr>
          <w:sz w:val="28"/>
          <w:szCs w:val="28"/>
        </w:rPr>
        <w:t>4. 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pPr>
        <w:ind w:firstLine="709"/>
        <w:jc w:val="both"/>
        <w:rPr>
          <w:sz w:val="28"/>
          <w:szCs w:val="28"/>
        </w:rPr>
      </w:pPr>
      <w:r>
        <w:rPr>
          <w:color w:val="000000"/>
          <w:sz w:val="28"/>
          <w:szCs w:val="28"/>
        </w:rPr>
        <w:t>5. Установить, что 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государственных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Богородского муниципального округа Нижегородской области в Управлении Федерального казначейства по Нижегородской области</w:t>
      </w:r>
      <w:r>
        <w:rPr>
          <w:sz w:val="28"/>
          <w:szCs w:val="28"/>
        </w:rPr>
        <w:t>.</w:t>
      </w:r>
    </w:p>
    <w:p>
      <w:pPr>
        <w:pStyle w:val="41"/>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11</w:t>
      </w:r>
    </w:p>
    <w:p>
      <w:pPr>
        <w:ind w:firstLine="709"/>
        <w:jc w:val="both"/>
        <w:rPr>
          <w:sz w:val="28"/>
          <w:szCs w:val="28"/>
        </w:rPr>
      </w:pPr>
      <w:r>
        <w:rPr>
          <w:sz w:val="28"/>
          <w:szCs w:val="28"/>
        </w:rPr>
        <w:t>Бюджетные учреждения Богородского муниципального округа и автономные учреждения Богородского муниципального округа в установленном администрацией Богородского муниципального округа порядке обеспечивают возврат в бюджет муниципального округа средств в объеме остатков субсидий, предоставленных на финансовое обеспечение выполнения муниципальных заданий на оказание муниципальных услуг (выполнение работ), образовавшихся на 1 января текущего финансового года в связи с недостижением установленных муниципальным заданием показателей, характеризующих объем муниципальных услуг (работ), на основании отчета о выполнении муниципального задания, предоставленного органам, осуществляющим функции и полномочия учредителей в отношении бюджетных учреждений Богородского муниципального округа или автономных учреждений Богородского муниципального округа.</w:t>
      </w:r>
    </w:p>
    <w:p>
      <w:pPr>
        <w:pStyle w:val="41"/>
        <w:ind w:firstLine="709"/>
        <w:jc w:val="both"/>
        <w:rPr>
          <w:rFonts w:ascii="Times New Roman" w:hAnsi="Times New Roman" w:cs="Times New Roman"/>
          <w:sz w:val="28"/>
          <w:szCs w:val="28"/>
        </w:rPr>
      </w:pPr>
      <w:r>
        <w:rPr>
          <w:rFonts w:ascii="Times New Roman" w:hAnsi="Times New Roman" w:cs="Times New Roman"/>
          <w:b/>
          <w:bCs/>
          <w:sz w:val="28"/>
          <w:szCs w:val="28"/>
        </w:rPr>
        <w:t>Статья 12</w:t>
      </w:r>
    </w:p>
    <w:p>
      <w:pPr>
        <w:ind w:firstLine="709"/>
        <w:jc w:val="both"/>
        <w:rPr>
          <w:sz w:val="28"/>
          <w:szCs w:val="28"/>
        </w:rPr>
      </w:pPr>
      <w:r>
        <w:rPr>
          <w:sz w:val="28"/>
          <w:szCs w:val="28"/>
        </w:rPr>
        <w:t>1. Утвердить объем бюджетных ассигнований муниципального дорожного фонда Богородского муниципального округа:</w:t>
      </w:r>
    </w:p>
    <w:p>
      <w:pPr>
        <w:ind w:firstLine="709"/>
        <w:jc w:val="both"/>
        <w:rPr>
          <w:sz w:val="28"/>
          <w:szCs w:val="28"/>
        </w:rPr>
      </w:pPr>
      <w:r>
        <w:rPr>
          <w:sz w:val="28"/>
          <w:szCs w:val="28"/>
        </w:rPr>
        <w:t xml:space="preserve"> на 2023 год в сумме 34 792,50 тыс. рублей, на 2024 год в сумме 35 534,20 тыс. рублей, на 2025 год в сумме 39 077,20 тыс. рублей.</w:t>
      </w:r>
    </w:p>
    <w:p>
      <w:pPr>
        <w:ind w:firstLine="709"/>
        <w:jc w:val="both"/>
        <w:rPr>
          <w:sz w:val="28"/>
          <w:szCs w:val="28"/>
        </w:rPr>
      </w:pPr>
      <w:r>
        <w:rPr>
          <w:sz w:val="28"/>
          <w:szCs w:val="28"/>
        </w:rPr>
        <w:t>2. Использование средств муниципального дорожного фонда Богородского муниципального округа, указанных в п. 1 настоящей статьи, осуществляется в порядке, установленном представительным органом.</w:t>
      </w:r>
    </w:p>
    <w:p>
      <w:pPr>
        <w:pStyle w:val="41"/>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13</w:t>
      </w:r>
    </w:p>
    <w:p>
      <w:pPr>
        <w:pStyle w:val="41"/>
        <w:ind w:firstLine="709"/>
        <w:jc w:val="both"/>
        <w:rPr>
          <w:rFonts w:ascii="Times New Roman" w:hAnsi="Times New Roman" w:cs="Times New Roman"/>
          <w:iCs/>
          <w:sz w:val="28"/>
          <w:szCs w:val="28"/>
        </w:rPr>
      </w:pPr>
      <w:r>
        <w:rPr>
          <w:rFonts w:ascii="Times New Roman" w:hAnsi="Times New Roman" w:cs="Times New Roman"/>
          <w:iCs/>
          <w:sz w:val="28"/>
          <w:szCs w:val="28"/>
        </w:rPr>
        <w:t>1. 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w:t>
      </w:r>
    </w:p>
    <w:p>
      <w:pPr>
        <w:pStyle w:val="41"/>
        <w:ind w:firstLine="709"/>
        <w:jc w:val="both"/>
        <w:rPr>
          <w:rFonts w:ascii="Times New Roman" w:hAnsi="Times New Roman" w:cs="Times New Roman"/>
          <w:iCs/>
          <w:sz w:val="28"/>
          <w:szCs w:val="28"/>
        </w:rPr>
      </w:pPr>
      <w:r>
        <w:rPr>
          <w:rFonts w:ascii="Times New Roman" w:hAnsi="Times New Roman" w:cs="Times New Roman"/>
          <w:iCs/>
          <w:sz w:val="28"/>
          <w:szCs w:val="28"/>
        </w:rPr>
        <w:t>1.1. за счет средств областного и федерального бюджетов – в порядке, установленном Правительством Нижегородской области и (или) Правительством Российской Федерации в соответствии с федеральными законами, законами Нижегородской области, иными нормативными правовыми актами Российской Федерации и Нижегородской области;</w:t>
      </w:r>
    </w:p>
    <w:p>
      <w:pPr>
        <w:pStyle w:val="41"/>
        <w:ind w:firstLine="709"/>
        <w:jc w:val="both"/>
        <w:rPr>
          <w:rFonts w:ascii="Times New Roman" w:hAnsi="Times New Roman" w:cs="Times New Roman"/>
          <w:iCs/>
          <w:sz w:val="28"/>
          <w:szCs w:val="28"/>
        </w:rPr>
      </w:pPr>
      <w:r>
        <w:rPr>
          <w:rFonts w:ascii="Times New Roman" w:hAnsi="Times New Roman" w:cs="Times New Roman"/>
          <w:iCs/>
          <w:sz w:val="28"/>
          <w:szCs w:val="28"/>
        </w:rPr>
        <w:t>1.2. за счет средств бюджета муниципального округа - в порядке, установленном администрацией Богородского муниципального округа, и (или) в соответствии с условиями, предусмотренными концессионными соглашениями, в следующих случаях:</w:t>
      </w:r>
    </w:p>
    <w:p>
      <w:pPr>
        <w:pStyle w:val="41"/>
        <w:ind w:firstLine="709"/>
        <w:jc w:val="both"/>
        <w:rPr>
          <w:rFonts w:ascii="Times New Roman" w:hAnsi="Times New Roman" w:cs="Times New Roman"/>
          <w:iCs/>
          <w:sz w:val="28"/>
          <w:szCs w:val="28"/>
        </w:rPr>
      </w:pPr>
      <w:r>
        <w:rPr>
          <w:rFonts w:ascii="Times New Roman" w:hAnsi="Times New Roman" w:cs="Times New Roman"/>
          <w:iCs/>
          <w:sz w:val="28"/>
          <w:szCs w:val="28"/>
        </w:rPr>
        <w:t>1) на возмещение затрат, связанных с поощрением работников организаций агропромышленного комплекса Богородского муниципального округа;</w:t>
      </w:r>
    </w:p>
    <w:p>
      <w:pPr>
        <w:pStyle w:val="41"/>
        <w:ind w:firstLine="709"/>
        <w:jc w:val="both"/>
        <w:rPr>
          <w:rFonts w:ascii="Times New Roman" w:hAnsi="Times New Roman" w:cs="Times New Roman"/>
          <w:iCs/>
          <w:sz w:val="28"/>
          <w:szCs w:val="28"/>
        </w:rPr>
      </w:pPr>
      <w:r>
        <w:rPr>
          <w:rFonts w:ascii="Times New Roman" w:hAnsi="Times New Roman" w:cs="Times New Roman"/>
          <w:iCs/>
          <w:sz w:val="28"/>
          <w:szCs w:val="28"/>
        </w:rPr>
        <w:t>2) на возмещение недополученных доходов в связи с оказанием услуг бань населению на территории Богородского муниципального округа;</w:t>
      </w:r>
    </w:p>
    <w:p>
      <w:pPr>
        <w:pStyle w:val="41"/>
        <w:ind w:firstLine="709"/>
        <w:jc w:val="both"/>
        <w:rPr>
          <w:rFonts w:ascii="Times New Roman" w:hAnsi="Times New Roman" w:cs="Times New Roman"/>
          <w:iCs/>
          <w:sz w:val="28"/>
          <w:szCs w:val="28"/>
        </w:rPr>
      </w:pPr>
      <w:r>
        <w:rPr>
          <w:rFonts w:ascii="Times New Roman" w:hAnsi="Times New Roman" w:cs="Times New Roman"/>
          <w:iCs/>
          <w:sz w:val="28"/>
          <w:szCs w:val="28"/>
        </w:rPr>
        <w:t>3) на возмещение части затрат на производство сельскохозяйственной продукции на создание условий для развития сельскохозяйственного производства;</w:t>
      </w:r>
    </w:p>
    <w:p>
      <w:pPr>
        <w:pStyle w:val="41"/>
        <w:ind w:firstLine="709"/>
        <w:jc w:val="both"/>
        <w:rPr>
          <w:rFonts w:ascii="Times New Roman" w:hAnsi="Times New Roman" w:cs="Times New Roman"/>
          <w:iCs/>
          <w:sz w:val="28"/>
          <w:szCs w:val="28"/>
        </w:rPr>
      </w:pPr>
      <w:r>
        <w:rPr>
          <w:rFonts w:ascii="Times New Roman" w:hAnsi="Times New Roman" w:cs="Times New Roman"/>
          <w:iCs/>
          <w:sz w:val="28"/>
          <w:szCs w:val="28"/>
        </w:rPr>
        <w:t>4) на возмещение затрат на подготовку к прохождению отопительного сезона 2022-2023 гг.;</w:t>
      </w:r>
    </w:p>
    <w:p>
      <w:pPr>
        <w:pStyle w:val="41"/>
        <w:ind w:firstLine="709"/>
        <w:jc w:val="both"/>
        <w:rPr>
          <w:rFonts w:ascii="Times New Roman" w:hAnsi="Times New Roman" w:cs="Times New Roman"/>
          <w:iCs/>
          <w:sz w:val="28"/>
          <w:szCs w:val="28"/>
        </w:rPr>
      </w:pPr>
      <w:r>
        <w:rPr>
          <w:rFonts w:ascii="Times New Roman" w:hAnsi="Times New Roman" w:cs="Times New Roman"/>
          <w:iCs/>
          <w:sz w:val="28"/>
          <w:szCs w:val="28"/>
        </w:rPr>
        <w:t>5) на финансовое обеспечение затрат ресурсоснабжающим организациям на погашение задолженности по заключенным мировым соглашениям и соглашениям о реструктуризации;</w:t>
      </w:r>
    </w:p>
    <w:p>
      <w:pPr>
        <w:pStyle w:val="41"/>
        <w:ind w:firstLine="709"/>
        <w:jc w:val="both"/>
        <w:rPr>
          <w:rFonts w:ascii="Times New Roman" w:hAnsi="Times New Roman" w:cs="Times New Roman"/>
          <w:iCs/>
          <w:sz w:val="28"/>
          <w:szCs w:val="28"/>
        </w:rPr>
      </w:pPr>
      <w:r>
        <w:rPr>
          <w:rFonts w:ascii="Times New Roman" w:hAnsi="Times New Roman" w:cs="Times New Roman"/>
          <w:iCs/>
          <w:sz w:val="28"/>
          <w:szCs w:val="28"/>
        </w:rPr>
        <w:t>6) на обеспечение прироста сельскохозяйственной продукции собственного производства в рамках приоритетных подотраслей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w:t>
      </w:r>
    </w:p>
    <w:p>
      <w:pPr>
        <w:pStyle w:val="41"/>
        <w:ind w:firstLine="709"/>
        <w:jc w:val="both"/>
        <w:rPr>
          <w:rFonts w:ascii="Times New Roman" w:hAnsi="Times New Roman" w:cs="Times New Roman"/>
          <w:iCs/>
          <w:sz w:val="28"/>
          <w:szCs w:val="28"/>
        </w:rPr>
      </w:pPr>
      <w:r>
        <w:rPr>
          <w:rFonts w:ascii="Times New Roman" w:hAnsi="Times New Roman" w:cs="Times New Roman"/>
          <w:iCs/>
          <w:sz w:val="28"/>
          <w:szCs w:val="28"/>
        </w:rPr>
        <w:t>2. Установить, что субсидии некоммерческим организациям, не являющимся государственными (муниципальными) учреждениями, предоставляются за счет средств бюджета муниципального округа в порядке, установленном администрацией Богородского муниципального округа в следующих случаях:</w:t>
      </w:r>
    </w:p>
    <w:p>
      <w:pPr>
        <w:pStyle w:val="41"/>
        <w:ind w:firstLine="709"/>
        <w:jc w:val="both"/>
        <w:rPr>
          <w:rFonts w:ascii="Times New Roman" w:hAnsi="Times New Roman" w:cs="Times New Roman"/>
          <w:iCs/>
          <w:sz w:val="28"/>
          <w:szCs w:val="28"/>
        </w:rPr>
      </w:pPr>
      <w:r>
        <w:rPr>
          <w:rFonts w:ascii="Times New Roman" w:hAnsi="Times New Roman" w:cs="Times New Roman"/>
          <w:iCs/>
          <w:sz w:val="28"/>
          <w:szCs w:val="28"/>
        </w:rPr>
        <w:t>1) на оказание финансовой поддержки социально ориентированным некоммерческим организациям;</w:t>
      </w:r>
    </w:p>
    <w:p>
      <w:pPr>
        <w:ind w:firstLine="709"/>
        <w:jc w:val="both"/>
        <w:rPr>
          <w:iCs/>
          <w:sz w:val="28"/>
          <w:szCs w:val="28"/>
        </w:rPr>
      </w:pPr>
      <w:r>
        <w:rPr>
          <w:iCs/>
          <w:sz w:val="28"/>
          <w:szCs w:val="28"/>
        </w:rPr>
        <w:t>2)</w:t>
      </w:r>
      <w:r>
        <w:rPr>
          <w:sz w:val="28"/>
          <w:szCs w:val="28"/>
        </w:rPr>
        <w:t xml:space="preserve"> </w:t>
      </w:r>
      <w:r>
        <w:rPr>
          <w:iCs/>
          <w:sz w:val="28"/>
          <w:szCs w:val="28"/>
        </w:rPr>
        <w:t>на финансовое обеспечение затрат на общественно-полезные мероприятия спортивной направленности;</w:t>
      </w:r>
    </w:p>
    <w:p>
      <w:pPr>
        <w:pStyle w:val="41"/>
        <w:ind w:firstLine="709"/>
        <w:jc w:val="both"/>
        <w:rPr>
          <w:rFonts w:ascii="Times New Roman" w:hAnsi="Times New Roman" w:cs="Times New Roman"/>
          <w:iCs/>
          <w:sz w:val="28"/>
          <w:szCs w:val="28"/>
        </w:rPr>
      </w:pPr>
      <w:r>
        <w:rPr>
          <w:rFonts w:ascii="Times New Roman" w:hAnsi="Times New Roman" w:cs="Times New Roman"/>
          <w:iCs/>
          <w:sz w:val="28"/>
          <w:szCs w:val="28"/>
        </w:rPr>
        <w:t>3) на возмещение затрат, связанных с оказанием консультационных услуг субъектам малого и среднего предпринимательства на территории Богородского муниципального округа;</w:t>
      </w:r>
    </w:p>
    <w:p>
      <w:pPr>
        <w:pStyle w:val="41"/>
        <w:ind w:firstLine="709"/>
        <w:jc w:val="both"/>
        <w:rPr>
          <w:rFonts w:ascii="Times New Roman" w:hAnsi="Times New Roman" w:cs="Times New Roman"/>
          <w:iCs/>
          <w:sz w:val="28"/>
          <w:szCs w:val="28"/>
        </w:rPr>
      </w:pPr>
      <w:r>
        <w:rPr>
          <w:rFonts w:ascii="Times New Roman" w:hAnsi="Times New Roman" w:cs="Times New Roman"/>
          <w:iCs/>
          <w:sz w:val="28"/>
          <w:szCs w:val="28"/>
        </w:rPr>
        <w:t>4) на финансовое обеспечение затрат, связанных с созданием и(или) обеспечением деятельности окон центра «Мой бизнес» на территории Богородского муниципального округа;</w:t>
      </w:r>
    </w:p>
    <w:p>
      <w:pPr>
        <w:pStyle w:val="41"/>
        <w:ind w:firstLine="709"/>
        <w:jc w:val="both"/>
        <w:rPr>
          <w:rFonts w:ascii="Times New Roman" w:hAnsi="Times New Roman" w:cs="Times New Roman"/>
          <w:iCs/>
          <w:sz w:val="28"/>
          <w:szCs w:val="28"/>
        </w:rPr>
      </w:pPr>
      <w:r>
        <w:rPr>
          <w:rFonts w:ascii="Times New Roman" w:hAnsi="Times New Roman" w:cs="Times New Roman"/>
          <w:iCs/>
          <w:sz w:val="28"/>
          <w:szCs w:val="28"/>
        </w:rPr>
        <w:t>3. Субсидии, указанные в настоящей статье, распределяются в соответствии с нормативными правовыми актами администрации Богородского муниципального округа.</w:t>
      </w:r>
    </w:p>
    <w:p>
      <w:pPr>
        <w:pStyle w:val="41"/>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14</w:t>
      </w:r>
    </w:p>
    <w:p>
      <w:pPr>
        <w:pStyle w:val="41"/>
        <w:ind w:firstLine="709"/>
        <w:jc w:val="both"/>
        <w:rPr>
          <w:rFonts w:ascii="Times New Roman" w:hAnsi="Times New Roman" w:cs="Times New Roman"/>
          <w:iCs/>
          <w:sz w:val="28"/>
          <w:szCs w:val="28"/>
        </w:rPr>
      </w:pPr>
      <w:r>
        <w:rPr>
          <w:rFonts w:ascii="Times New Roman" w:hAnsi="Times New Roman" w:cs="Times New Roman"/>
          <w:iCs/>
          <w:sz w:val="28"/>
          <w:szCs w:val="28"/>
        </w:rPr>
        <w:t>Установить, что гранты в форме субсидий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Богородского муниципального округа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 предоставляются порядке, установленном администрацией Богородского муниципального округа.</w:t>
      </w:r>
    </w:p>
    <w:p>
      <w:pPr>
        <w:pStyle w:val="41"/>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15</w:t>
      </w:r>
    </w:p>
    <w:p>
      <w:pPr>
        <w:pStyle w:val="41"/>
        <w:ind w:firstLine="709"/>
        <w:jc w:val="both"/>
        <w:rPr>
          <w:rFonts w:ascii="Times New Roman" w:hAnsi="Times New Roman" w:cs="Times New Roman"/>
          <w:bCs/>
          <w:sz w:val="28"/>
          <w:szCs w:val="28"/>
        </w:rPr>
      </w:pPr>
      <w:r>
        <w:rPr>
          <w:rFonts w:ascii="Times New Roman" w:hAnsi="Times New Roman" w:cs="Times New Roman"/>
          <w:bCs/>
          <w:sz w:val="28"/>
          <w:szCs w:val="28"/>
        </w:rPr>
        <w:t>Установить коэффициент увеличения (индексации) размеров ежемесячного денежного вознаграждения по муниципальным должностям Богородского муниципального округа и размеров окладов денежного содержания муниципальных служащих Богородского муниципального округа с 1 октября 2023 года равным 1,065.</w:t>
      </w:r>
    </w:p>
    <w:p>
      <w:pPr>
        <w:ind w:firstLine="709"/>
        <w:jc w:val="both"/>
        <w:rPr>
          <w:b/>
          <w:sz w:val="28"/>
          <w:szCs w:val="28"/>
        </w:rPr>
      </w:pPr>
    </w:p>
    <w:p>
      <w:pPr>
        <w:ind w:firstLine="709"/>
        <w:jc w:val="both"/>
        <w:rPr>
          <w:b/>
          <w:sz w:val="28"/>
          <w:szCs w:val="28"/>
        </w:rPr>
      </w:pPr>
      <w:r>
        <w:rPr>
          <w:b/>
          <w:sz w:val="28"/>
          <w:szCs w:val="28"/>
        </w:rPr>
        <w:t>Статья 16</w:t>
      </w:r>
    </w:p>
    <w:p>
      <w:pPr>
        <w:ind w:firstLine="709"/>
        <w:jc w:val="both"/>
        <w:rPr>
          <w:sz w:val="28"/>
          <w:szCs w:val="28"/>
        </w:rPr>
      </w:pPr>
      <w:r>
        <w:rPr>
          <w:sz w:val="28"/>
          <w:szCs w:val="28"/>
        </w:rPr>
        <w:t>Установить, что администрация Богородского муниципального округа в пределах предусмотренных настоящим Решением бюджетных ассигнований осуществляет возмещение из бюджета муниципального округа части затрат на уплату процентов по кредитам, полученным в российских кредитных организациях:</w:t>
      </w:r>
    </w:p>
    <w:p>
      <w:pPr>
        <w:pStyle w:val="41"/>
        <w:ind w:firstLine="709"/>
        <w:jc w:val="both"/>
        <w:rPr>
          <w:rFonts w:ascii="Times New Roman" w:hAnsi="Times New Roman" w:cs="Times New Roman"/>
          <w:bCs/>
          <w:sz w:val="28"/>
          <w:szCs w:val="28"/>
        </w:rPr>
      </w:pPr>
      <w:r>
        <w:rPr>
          <w:rFonts w:ascii="Times New Roman" w:hAnsi="Times New Roman" w:cs="Times New Roman"/>
          <w:bCs/>
          <w:sz w:val="28"/>
          <w:szCs w:val="28"/>
        </w:rPr>
        <w:t>в связи с необходимостью выполнения обязательств администрации Богородского муниципального округа Нижегородской области по кредитам, выданным до 31 декабря 2006 года молодым семьям в рамках областной целевой программы «Молодой семье - доступное жилье на 2004-2010 годы», утвержденной Законом Нижегородской области от 20 сентября 2004 г.          № 103-З.</w:t>
      </w:r>
    </w:p>
    <w:p>
      <w:pPr>
        <w:pStyle w:val="41"/>
        <w:ind w:firstLine="709"/>
        <w:jc w:val="both"/>
        <w:rPr>
          <w:rFonts w:ascii="Times New Roman" w:hAnsi="Times New Roman" w:cs="Times New Roman"/>
          <w:b/>
          <w:bCs/>
          <w:sz w:val="28"/>
          <w:szCs w:val="28"/>
        </w:rPr>
      </w:pPr>
    </w:p>
    <w:p>
      <w:pPr>
        <w:pStyle w:val="41"/>
        <w:ind w:firstLine="709"/>
        <w:jc w:val="both"/>
        <w:rPr>
          <w:rFonts w:ascii="Times New Roman" w:hAnsi="Times New Roman" w:cs="Times New Roman"/>
          <w:sz w:val="28"/>
          <w:szCs w:val="28"/>
        </w:rPr>
      </w:pPr>
      <w:r>
        <w:rPr>
          <w:rFonts w:ascii="Times New Roman" w:hAnsi="Times New Roman" w:cs="Times New Roman"/>
          <w:b/>
          <w:bCs/>
          <w:sz w:val="28"/>
          <w:szCs w:val="28"/>
        </w:rPr>
        <w:t>Статья 17</w:t>
      </w:r>
    </w:p>
    <w:p>
      <w:pPr>
        <w:pStyle w:val="42"/>
        <w:rPr>
          <w:sz w:val="28"/>
          <w:szCs w:val="28"/>
        </w:rPr>
      </w:pPr>
      <w:r>
        <w:rPr>
          <w:sz w:val="28"/>
          <w:szCs w:val="28"/>
        </w:rPr>
        <w:t>1. Установить верхний предел муниципального внутреннего долга Богородского муниципального округа:</w:t>
      </w:r>
    </w:p>
    <w:p>
      <w:pPr>
        <w:pStyle w:val="42"/>
        <w:rPr>
          <w:sz w:val="28"/>
          <w:szCs w:val="28"/>
        </w:rPr>
      </w:pPr>
      <w:r>
        <w:rPr>
          <w:sz w:val="28"/>
          <w:szCs w:val="28"/>
        </w:rPr>
        <w:t>1) на 1 января 2024 года в размере равном 30 000,00 тыс. рублей, в том числе установить верхний предел долга по муниципальным гарантиям Богородского муниципального округа на 1 января 2024 года в размере равном нулю;</w:t>
      </w:r>
    </w:p>
    <w:p>
      <w:pPr>
        <w:pStyle w:val="42"/>
        <w:rPr>
          <w:sz w:val="28"/>
          <w:szCs w:val="28"/>
        </w:rPr>
      </w:pPr>
      <w:r>
        <w:rPr>
          <w:sz w:val="28"/>
          <w:szCs w:val="28"/>
        </w:rPr>
        <w:t>2) на 1 января 2025 года в размере равном нулю, в том числе установить верхний предел долга по муниципальным гарантиям Богородского муниципального округа на 1 января 2025 года в размере равном нулю;</w:t>
      </w:r>
    </w:p>
    <w:p>
      <w:pPr>
        <w:pStyle w:val="42"/>
        <w:rPr>
          <w:sz w:val="28"/>
          <w:szCs w:val="28"/>
        </w:rPr>
      </w:pPr>
      <w:r>
        <w:rPr>
          <w:sz w:val="28"/>
          <w:szCs w:val="28"/>
        </w:rPr>
        <w:t>3) на 1 января 2026 года в размере равном нулю, в том числе установить верхний предел долга по муниципальным гарантиям Богородского муниципального округа на 1 января 2026 года в размере равном нулю.</w:t>
      </w:r>
    </w:p>
    <w:p>
      <w:pPr>
        <w:pStyle w:val="42"/>
        <w:rPr>
          <w:sz w:val="28"/>
          <w:szCs w:val="28"/>
        </w:rPr>
      </w:pPr>
      <w:r>
        <w:rPr>
          <w:sz w:val="28"/>
          <w:szCs w:val="28"/>
        </w:rPr>
        <w:t>2. Утвердить объем бюджетных ассигнований, предусмотренных на исполнение муниципальных гарантий Богородского муниципального округа по возможным гарантийным случаям:</w:t>
      </w:r>
    </w:p>
    <w:p>
      <w:pPr>
        <w:pStyle w:val="42"/>
        <w:rPr>
          <w:sz w:val="28"/>
          <w:szCs w:val="28"/>
        </w:rPr>
      </w:pPr>
      <w:r>
        <w:rPr>
          <w:sz w:val="28"/>
          <w:szCs w:val="28"/>
        </w:rPr>
        <w:t>1) на 2023 год в сумме 0,0 тыс.руб.;</w:t>
      </w:r>
    </w:p>
    <w:p>
      <w:pPr>
        <w:pStyle w:val="42"/>
        <w:rPr>
          <w:sz w:val="28"/>
          <w:szCs w:val="28"/>
        </w:rPr>
      </w:pPr>
      <w:r>
        <w:rPr>
          <w:sz w:val="28"/>
          <w:szCs w:val="28"/>
        </w:rPr>
        <w:t>2) на 2024 год в сумме 0,0 тыс.руб.;</w:t>
      </w:r>
    </w:p>
    <w:p>
      <w:pPr>
        <w:pStyle w:val="42"/>
        <w:rPr>
          <w:sz w:val="28"/>
          <w:szCs w:val="28"/>
        </w:rPr>
      </w:pPr>
      <w:r>
        <w:rPr>
          <w:sz w:val="28"/>
          <w:szCs w:val="28"/>
        </w:rPr>
        <w:t>3) на 2025 год в сумме 0,0 тыс.руб.</w:t>
      </w:r>
    </w:p>
    <w:p>
      <w:pPr>
        <w:pStyle w:val="41"/>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18</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Утвердить Программу муниципальных внутренних заимствований Богородского муниципального округа на 2023 год и на плановый период 2024 и 2025 годов согласно приложению 8.</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Утвердить Программу муниципальных гарантий Богородского муниципального округа на 2023 год и на плановый период 2024 и 2025 годов согласно приложению 9.</w:t>
      </w:r>
    </w:p>
    <w:p>
      <w:pPr>
        <w:pStyle w:val="41"/>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19</w:t>
      </w:r>
    </w:p>
    <w:p>
      <w:pPr>
        <w:pStyle w:val="41"/>
        <w:ind w:firstLine="709"/>
        <w:jc w:val="both"/>
        <w:rPr>
          <w:rFonts w:ascii="Times New Roman" w:hAnsi="Times New Roman" w:cs="Times New Roman"/>
          <w:bCs/>
          <w:sz w:val="28"/>
          <w:szCs w:val="28"/>
        </w:rPr>
      </w:pPr>
      <w:r>
        <w:rPr>
          <w:rFonts w:ascii="Times New Roman" w:hAnsi="Times New Roman" w:cs="Times New Roman"/>
          <w:bCs/>
          <w:sz w:val="28"/>
          <w:szCs w:val="28"/>
        </w:rPr>
        <w:t>В случае, если нормативные правовые акты Богородского муниципального округа, устанавливающие бюджетные обязательства, реализация которых осуществляется за счет средств бюджета муниципального округа, противоречат настоящему решению, применяется настоящее решение.</w:t>
      </w:r>
    </w:p>
    <w:p>
      <w:pPr>
        <w:pStyle w:val="41"/>
        <w:ind w:firstLine="709"/>
        <w:jc w:val="both"/>
        <w:rPr>
          <w:rFonts w:ascii="Times New Roman" w:hAnsi="Times New Roman" w:cs="Times New Roman"/>
          <w:bCs/>
          <w:sz w:val="28"/>
          <w:szCs w:val="28"/>
        </w:rPr>
      </w:pPr>
      <w:r>
        <w:rPr>
          <w:rFonts w:ascii="Times New Roman" w:hAnsi="Times New Roman" w:cs="Times New Roman"/>
          <w:bCs/>
          <w:sz w:val="28"/>
          <w:szCs w:val="28"/>
        </w:rPr>
        <w:t>Нормативные правовые акты Богородского муниципального округа подлежат приведению в соответствие с настоящим решением в двухмесячный срок со дня вступления в силу настоящего решения.</w:t>
      </w:r>
    </w:p>
    <w:p>
      <w:pPr>
        <w:pStyle w:val="41"/>
        <w:ind w:firstLine="709"/>
        <w:jc w:val="both"/>
        <w:rPr>
          <w:rFonts w:ascii="Times New Roman" w:hAnsi="Times New Roman" w:cs="Times New Roman"/>
          <w:sz w:val="28"/>
          <w:szCs w:val="28"/>
        </w:rPr>
      </w:pPr>
      <w:r>
        <w:rPr>
          <w:rFonts w:ascii="Times New Roman" w:hAnsi="Times New Roman" w:cs="Times New Roman"/>
          <w:b/>
          <w:bCs/>
          <w:sz w:val="28"/>
          <w:szCs w:val="28"/>
        </w:rPr>
        <w:t>Статья 20</w:t>
      </w:r>
    </w:p>
    <w:p>
      <w:pPr>
        <w:pStyle w:val="41"/>
        <w:ind w:firstLine="709"/>
        <w:jc w:val="both"/>
        <w:rPr>
          <w:rFonts w:ascii="Times New Roman" w:hAnsi="Times New Roman" w:cs="Times New Roman"/>
          <w:sz w:val="28"/>
          <w:szCs w:val="28"/>
        </w:rPr>
      </w:pPr>
      <w:r>
        <w:rPr>
          <w:rFonts w:ascii="Times New Roman" w:hAnsi="Times New Roman" w:cs="Times New Roman"/>
          <w:sz w:val="28"/>
          <w:szCs w:val="28"/>
        </w:rPr>
        <w:t>1. Настоящее решение вступает в силу с 01 января 2023 г.</w:t>
      </w:r>
    </w:p>
    <w:p>
      <w:pPr>
        <w:ind w:firstLine="709"/>
        <w:jc w:val="both"/>
        <w:rPr>
          <w:sz w:val="28"/>
          <w:szCs w:val="28"/>
        </w:rPr>
      </w:pPr>
      <w:r>
        <w:rPr>
          <w:sz w:val="28"/>
          <w:szCs w:val="28"/>
        </w:rPr>
        <w:t xml:space="preserve">2. Опубликовать настоящее решение в газете «Богородская газета». </w:t>
      </w:r>
    </w:p>
    <w:p>
      <w:pPr>
        <w:ind w:firstLine="709"/>
        <w:jc w:val="both"/>
        <w:rPr>
          <w:sz w:val="28"/>
          <w:szCs w:val="28"/>
        </w:rPr>
      </w:pPr>
    </w:p>
    <w:p>
      <w:pPr>
        <w:ind w:firstLine="709"/>
        <w:jc w:val="both"/>
        <w:rPr>
          <w:sz w:val="28"/>
          <w:szCs w:val="28"/>
        </w:rPr>
      </w:pPr>
    </w:p>
    <w:p>
      <w:pPr>
        <w:ind w:firstLine="709"/>
        <w:jc w:val="both"/>
        <w:rPr>
          <w:sz w:val="28"/>
          <w:szCs w:val="28"/>
        </w:rPr>
      </w:pPr>
    </w:p>
    <w:p>
      <w:pPr>
        <w:jc w:val="both"/>
        <w:rPr>
          <w:sz w:val="28"/>
          <w:szCs w:val="28"/>
        </w:rPr>
      </w:pPr>
      <w:r>
        <w:rPr>
          <w:sz w:val="28"/>
          <w:szCs w:val="28"/>
        </w:rPr>
        <w:t>Заместитель председателя</w:t>
      </w:r>
    </w:p>
    <w:p>
      <w:pPr>
        <w:jc w:val="both"/>
        <w:rPr>
          <w:sz w:val="28"/>
          <w:szCs w:val="28"/>
        </w:rPr>
      </w:pPr>
      <w:r>
        <w:rPr>
          <w:sz w:val="28"/>
          <w:szCs w:val="28"/>
        </w:rPr>
        <w:t>Совета депутатов                                                                          А.Н.Резвяков</w:t>
      </w: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Глава местного самоуправления                                                      А.Н.Коротков</w:t>
      </w:r>
    </w:p>
    <w:p>
      <w:pPr>
        <w:ind w:firstLine="709"/>
        <w:jc w:val="both"/>
        <w:rPr>
          <w:sz w:val="28"/>
          <w:szCs w:val="28"/>
        </w:rPr>
      </w:pPr>
    </w:p>
    <w:p>
      <w:pPr>
        <w:ind w:firstLine="709"/>
        <w:jc w:val="both"/>
        <w:rPr>
          <w:sz w:val="28"/>
          <w:szCs w:val="28"/>
        </w:rPr>
        <w:sectPr>
          <w:headerReference r:id="rId5" w:type="first"/>
          <w:headerReference r:id="rId3" w:type="default"/>
          <w:headerReference r:id="rId4" w:type="even"/>
          <w:type w:val="nextColumn"/>
          <w:pgSz w:w="11906" w:h="16838"/>
          <w:pgMar w:top="1134" w:right="850" w:bottom="1134" w:left="1701" w:header="306" w:footer="709" w:gutter="0"/>
          <w:cols w:space="708" w:num="1"/>
          <w:titlePg/>
          <w:docGrid w:linePitch="360" w:charSpace="0"/>
        </w:sectPr>
      </w:pPr>
    </w:p>
    <w:p>
      <w:pPr>
        <w:tabs>
          <w:tab w:val="left" w:pos="568"/>
        </w:tabs>
        <w:ind w:firstLine="5580"/>
        <w:jc w:val="center"/>
        <w:rPr>
          <w:rFonts w:eastAsia="Lucida Sans Unicode"/>
          <w:kern w:val="2"/>
          <w:sz w:val="28"/>
          <w:szCs w:val="28"/>
        </w:rPr>
      </w:pPr>
      <w:r>
        <w:rPr>
          <w:rFonts w:eastAsia="Lucida Sans Unicode"/>
          <w:kern w:val="2"/>
          <w:sz w:val="28"/>
          <w:szCs w:val="28"/>
        </w:rPr>
        <w:t>ПРИЛОЖЕНИЕ 1</w:t>
      </w:r>
    </w:p>
    <w:p>
      <w:pPr>
        <w:tabs>
          <w:tab w:val="left" w:pos="568"/>
        </w:tabs>
        <w:ind w:firstLine="5580"/>
        <w:jc w:val="center"/>
        <w:rPr>
          <w:rFonts w:eastAsia="Lucida Sans Unicode"/>
          <w:kern w:val="2"/>
          <w:sz w:val="28"/>
          <w:szCs w:val="28"/>
        </w:rPr>
      </w:pPr>
    </w:p>
    <w:p>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pPr>
        <w:tabs>
          <w:tab w:val="left" w:pos="568"/>
        </w:tabs>
        <w:ind w:firstLine="5580"/>
        <w:jc w:val="center"/>
        <w:rPr>
          <w:rFonts w:eastAsia="Lucida Sans Unicode"/>
          <w:kern w:val="2"/>
          <w:sz w:val="28"/>
          <w:szCs w:val="28"/>
        </w:rPr>
      </w:pPr>
      <w:r>
        <w:rPr>
          <w:rFonts w:eastAsia="Lucida Sans Unicode"/>
          <w:kern w:val="2"/>
          <w:sz w:val="28"/>
          <w:szCs w:val="28"/>
        </w:rPr>
        <w:t xml:space="preserve">округа Нижегородской области </w:t>
      </w:r>
    </w:p>
    <w:p>
      <w:pPr>
        <w:tabs>
          <w:tab w:val="left" w:pos="568"/>
        </w:tabs>
        <w:ind w:firstLine="5580"/>
        <w:jc w:val="center"/>
        <w:rPr>
          <w:rFonts w:eastAsia="Lucida Sans Unicode"/>
          <w:kern w:val="2"/>
          <w:sz w:val="28"/>
          <w:szCs w:val="28"/>
        </w:rPr>
      </w:pPr>
      <w:r>
        <w:rPr>
          <w:rFonts w:eastAsia="Lucida Sans Unicode"/>
          <w:kern w:val="2"/>
          <w:sz w:val="28"/>
          <w:szCs w:val="28"/>
        </w:rPr>
        <w:t>от 15.12.2022 № 147</w:t>
      </w:r>
    </w:p>
    <w:p>
      <w:pPr>
        <w:tabs>
          <w:tab w:val="left" w:pos="568"/>
        </w:tabs>
        <w:ind w:firstLine="720"/>
        <w:jc w:val="center"/>
        <w:rPr>
          <w:rFonts w:eastAsia="Lucida Sans Unicode"/>
          <w:kern w:val="2"/>
          <w:sz w:val="28"/>
          <w:szCs w:val="28"/>
        </w:rPr>
      </w:pPr>
    </w:p>
    <w:p>
      <w:pPr>
        <w:jc w:val="center"/>
        <w:rPr>
          <w:b/>
          <w:sz w:val="28"/>
          <w:szCs w:val="28"/>
        </w:rPr>
      </w:pPr>
      <w:r>
        <w:rPr>
          <w:b/>
          <w:sz w:val="28"/>
          <w:szCs w:val="28"/>
        </w:rPr>
        <w:t xml:space="preserve">Доходы бюджета муниципального округа по группам, подгруппам </w:t>
      </w:r>
    </w:p>
    <w:p>
      <w:pPr>
        <w:jc w:val="center"/>
        <w:rPr>
          <w:b/>
          <w:sz w:val="28"/>
          <w:szCs w:val="28"/>
        </w:rPr>
      </w:pPr>
      <w:r>
        <w:rPr>
          <w:b/>
          <w:sz w:val="28"/>
          <w:szCs w:val="28"/>
        </w:rPr>
        <w:t xml:space="preserve">и статьям бюджетной классификации доходов бюджета на 2023 год </w:t>
      </w:r>
    </w:p>
    <w:p>
      <w:pPr>
        <w:jc w:val="center"/>
        <w:rPr>
          <w:b/>
          <w:sz w:val="28"/>
          <w:szCs w:val="28"/>
        </w:rPr>
      </w:pPr>
      <w:r>
        <w:rPr>
          <w:b/>
          <w:sz w:val="28"/>
          <w:szCs w:val="28"/>
        </w:rPr>
        <w:t>и на плановый период 2024 и 2025 годов</w:t>
      </w:r>
    </w:p>
    <w:p>
      <w:pPr>
        <w:tabs>
          <w:tab w:val="left" w:pos="9214"/>
        </w:tabs>
        <w:ind w:firstLine="708"/>
        <w:jc w:val="right"/>
      </w:pPr>
      <w:r>
        <w:t>(тыс. рублей)</w:t>
      </w:r>
    </w:p>
    <w:tbl>
      <w:tblPr>
        <w:tblStyle w:val="12"/>
        <w:tblW w:w="4970" w:type="pct"/>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111"/>
        <w:gridCol w:w="994"/>
        <w:gridCol w:w="994"/>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blHeader/>
        </w:trPr>
        <w:tc>
          <w:tcPr>
            <w:tcW w:w="1212" w:type="pct"/>
            <w:noWrap w:val="0"/>
            <w:tcMar>
              <w:left w:w="28" w:type="dxa"/>
              <w:right w:w="28" w:type="dxa"/>
            </w:tcMar>
            <w:vAlign w:val="center"/>
          </w:tcPr>
          <w:p>
            <w:pPr>
              <w:jc w:val="center"/>
              <w:rPr>
                <w:b/>
                <w:bCs/>
                <w:sz w:val="20"/>
                <w:szCs w:val="20"/>
              </w:rPr>
            </w:pPr>
            <w:r>
              <w:rPr>
                <w:b/>
                <w:bCs/>
                <w:sz w:val="20"/>
                <w:szCs w:val="20"/>
              </w:rPr>
              <w:t>Код бюджетной классификации Российской Федерации</w:t>
            </w:r>
          </w:p>
        </w:tc>
        <w:tc>
          <w:tcPr>
            <w:tcW w:w="2197" w:type="pct"/>
            <w:noWrap w:val="0"/>
            <w:tcMar>
              <w:left w:w="28" w:type="dxa"/>
              <w:right w:w="28" w:type="dxa"/>
            </w:tcMar>
            <w:vAlign w:val="center"/>
          </w:tcPr>
          <w:p>
            <w:pPr>
              <w:jc w:val="center"/>
              <w:rPr>
                <w:b/>
                <w:bCs/>
                <w:sz w:val="20"/>
                <w:szCs w:val="20"/>
              </w:rPr>
            </w:pPr>
            <w:r>
              <w:rPr>
                <w:b/>
                <w:bCs/>
                <w:sz w:val="20"/>
                <w:szCs w:val="20"/>
              </w:rPr>
              <w:t>Наименование доходов</w:t>
            </w:r>
          </w:p>
        </w:tc>
        <w:tc>
          <w:tcPr>
            <w:tcW w:w="531" w:type="pct"/>
            <w:noWrap w:val="0"/>
            <w:tcMar>
              <w:left w:w="28" w:type="dxa"/>
              <w:right w:w="28" w:type="dxa"/>
            </w:tcMar>
            <w:vAlign w:val="center"/>
          </w:tcPr>
          <w:p>
            <w:pPr>
              <w:jc w:val="center"/>
              <w:rPr>
                <w:b/>
                <w:bCs/>
                <w:sz w:val="20"/>
                <w:szCs w:val="20"/>
              </w:rPr>
            </w:pPr>
            <w:r>
              <w:rPr>
                <w:b/>
                <w:bCs/>
                <w:sz w:val="20"/>
                <w:szCs w:val="20"/>
              </w:rPr>
              <w:t>2023 год</w:t>
            </w:r>
          </w:p>
        </w:tc>
        <w:tc>
          <w:tcPr>
            <w:tcW w:w="531" w:type="pct"/>
            <w:noWrap w:val="0"/>
            <w:tcMar>
              <w:left w:w="28" w:type="dxa"/>
              <w:right w:w="28" w:type="dxa"/>
            </w:tcMar>
            <w:vAlign w:val="center"/>
          </w:tcPr>
          <w:p>
            <w:pPr>
              <w:jc w:val="center"/>
              <w:rPr>
                <w:b/>
                <w:bCs/>
                <w:sz w:val="20"/>
                <w:szCs w:val="20"/>
              </w:rPr>
            </w:pPr>
            <w:r>
              <w:rPr>
                <w:b/>
                <w:bCs/>
                <w:sz w:val="20"/>
                <w:szCs w:val="20"/>
              </w:rPr>
              <w:t>2024 год</w:t>
            </w:r>
          </w:p>
        </w:tc>
        <w:tc>
          <w:tcPr>
            <w:tcW w:w="528" w:type="pct"/>
            <w:noWrap w:val="0"/>
            <w:tcMar>
              <w:left w:w="28" w:type="dxa"/>
              <w:right w:w="28" w:type="dxa"/>
            </w:tcMar>
            <w:vAlign w:val="center"/>
          </w:tcPr>
          <w:p>
            <w:pPr>
              <w:jc w:val="center"/>
              <w:rPr>
                <w:b/>
                <w:bCs/>
                <w:sz w:val="20"/>
                <w:szCs w:val="20"/>
              </w:rPr>
            </w:pPr>
            <w:r>
              <w:rPr>
                <w:b/>
                <w:bCs/>
                <w:sz w:val="20"/>
                <w:szCs w:val="20"/>
              </w:rPr>
              <w:t>2025 год</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xml:space="preserve">1 00 00 00 0 00 0 000 000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1.НАЛОГОВЫЕ И НЕНАЛОГОВЫЕ ДОХОДЫ</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742 393,40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861 580,90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943 683,60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xml:space="preserve">1 01 00 00 0 00 0 000 000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1.1.НАЛОГИ НА ПРИБЫЛЬ, ДОХОДЫ</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372 620,70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488 467,20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556 940,20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Cs/>
                <w:sz w:val="20"/>
                <w:szCs w:val="20"/>
              </w:rPr>
            </w:pPr>
            <w:r>
              <w:rPr>
                <w:bCs/>
                <w:sz w:val="20"/>
                <w:szCs w:val="20"/>
              </w:rPr>
              <w:t xml:space="preserve">1 01 02 00 0 01 0 000 110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Cs/>
                <w:sz w:val="20"/>
                <w:szCs w:val="20"/>
              </w:rPr>
            </w:pPr>
            <w:r>
              <w:rPr>
                <w:bCs/>
                <w:sz w:val="20"/>
                <w:szCs w:val="20"/>
              </w:rPr>
              <w:t>1.1.1. Налог на доходы физических лиц</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color w:val="000000"/>
                <w:sz w:val="20"/>
                <w:szCs w:val="20"/>
              </w:rPr>
            </w:pPr>
            <w:r>
              <w:rPr>
                <w:bCs/>
                <w:color w:val="000000"/>
                <w:sz w:val="20"/>
                <w:szCs w:val="20"/>
              </w:rPr>
              <w:t>372 620,70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color w:val="000000"/>
                <w:sz w:val="20"/>
                <w:szCs w:val="20"/>
              </w:rPr>
            </w:pPr>
            <w:r>
              <w:rPr>
                <w:bCs/>
                <w:color w:val="000000"/>
                <w:sz w:val="20"/>
                <w:szCs w:val="20"/>
              </w:rPr>
              <w:t>488 467,20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color w:val="000000"/>
                <w:sz w:val="20"/>
                <w:szCs w:val="20"/>
              </w:rPr>
            </w:pPr>
            <w:r>
              <w:rPr>
                <w:bCs/>
                <w:color w:val="000000"/>
                <w:sz w:val="20"/>
                <w:szCs w:val="20"/>
              </w:rPr>
              <w:t>556 940,20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xml:space="preserve">1 03 00 00 0 00 0 000 000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1.2.  НАЛОГИ НА ТОВАРЫ (РАБОТЫ, УСЛУГИ), РЕАЛИЗУЕМЫЕ НА ТЕРРИТОРИИ РОССИЙСКОЙ ФЕДЕРАЦИИ</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34 792,50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35 534,20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39 077,20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Cs/>
                <w:sz w:val="20"/>
                <w:szCs w:val="20"/>
              </w:rPr>
            </w:pPr>
            <w:r>
              <w:rPr>
                <w:bCs/>
                <w:sz w:val="20"/>
                <w:szCs w:val="20"/>
              </w:rPr>
              <w:t xml:space="preserve">1 03 02 00 0 01 0 000 110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Cs/>
                <w:sz w:val="20"/>
                <w:szCs w:val="20"/>
              </w:rPr>
            </w:pPr>
            <w:r>
              <w:rPr>
                <w:bCs/>
                <w:sz w:val="20"/>
                <w:szCs w:val="20"/>
              </w:rPr>
              <w:t>1.2.1. Акцизы по подакцизным товарам (продукции), производимым на территории Российской Федерации</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34 792,50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35 534,20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39 077,20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xml:space="preserve">1 05 00 00 0 00 0 000 000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1.3. НАЛОГИ НА СОВОКУПНЫЙ ДОХОД</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83 352,50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90 525,40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96 980,70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Cs/>
                <w:sz w:val="20"/>
                <w:szCs w:val="20"/>
              </w:rPr>
            </w:pPr>
            <w:r>
              <w:rPr>
                <w:bCs/>
                <w:sz w:val="20"/>
                <w:szCs w:val="20"/>
              </w:rPr>
              <w:t xml:space="preserve">1 05 01 00 0 00 0 000 110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Cs/>
                <w:sz w:val="20"/>
                <w:szCs w:val="20"/>
              </w:rPr>
            </w:pPr>
            <w:r>
              <w:rPr>
                <w:bCs/>
                <w:sz w:val="20"/>
                <w:szCs w:val="20"/>
              </w:rPr>
              <w:t>1.3.1. Налог, взимаемый в связи с применением упрощенной системы налогообложения</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66 974,50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72 935,20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78 551,20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Cs/>
                <w:sz w:val="20"/>
                <w:szCs w:val="20"/>
              </w:rPr>
            </w:pPr>
            <w:r>
              <w:rPr>
                <w:color w:val="000000"/>
                <w:sz w:val="20"/>
                <w:szCs w:val="20"/>
              </w:rPr>
              <w:t>1 05 03 00 0 01 0 000 110</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Cs/>
                <w:sz w:val="20"/>
                <w:szCs w:val="20"/>
              </w:rPr>
            </w:pPr>
            <w:r>
              <w:rPr>
                <w:bCs/>
                <w:sz w:val="20"/>
                <w:szCs w:val="20"/>
              </w:rPr>
              <w:t>1.3.2.Единый сельскохозяйственный налог</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3 386,00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3 402,90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3 433,50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Cs/>
                <w:sz w:val="20"/>
                <w:szCs w:val="20"/>
              </w:rPr>
            </w:pPr>
            <w:r>
              <w:rPr>
                <w:bCs/>
                <w:sz w:val="20"/>
                <w:szCs w:val="20"/>
              </w:rPr>
              <w:t>1 05 04 00 0 02 0 000 110</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Cs/>
                <w:sz w:val="20"/>
                <w:szCs w:val="20"/>
              </w:rPr>
            </w:pPr>
            <w:r>
              <w:rPr>
                <w:bCs/>
                <w:sz w:val="20"/>
                <w:szCs w:val="20"/>
              </w:rPr>
              <w:t xml:space="preserve">1.3.3 Налог, взимаемый в связи с применением патентной системы налогообложения </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12 992,00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14 187,30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14 996,00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xml:space="preserve">1 06 00 00 0 00 0 000 000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1.4. НАЛОГИ НА ИМУЩЕСТВО</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183 093,80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186 681,00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190 013,60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Cs/>
                <w:sz w:val="20"/>
                <w:szCs w:val="20"/>
              </w:rPr>
            </w:pPr>
            <w:r>
              <w:rPr>
                <w:bCs/>
                <w:sz w:val="20"/>
                <w:szCs w:val="20"/>
              </w:rPr>
              <w:t xml:space="preserve">1 06 01 00 0 00 0 000 110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Cs/>
                <w:sz w:val="20"/>
                <w:szCs w:val="20"/>
              </w:rPr>
            </w:pPr>
            <w:r>
              <w:rPr>
                <w:bCs/>
                <w:sz w:val="20"/>
                <w:szCs w:val="20"/>
              </w:rPr>
              <w:t>1.4.1  Налог на имущество физических лиц</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62 214,20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65 076,10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67 679,10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Cs/>
                <w:sz w:val="20"/>
                <w:szCs w:val="20"/>
              </w:rPr>
            </w:pPr>
            <w:r>
              <w:rPr>
                <w:bCs/>
                <w:sz w:val="20"/>
                <w:szCs w:val="20"/>
              </w:rPr>
              <w:t xml:space="preserve">1 06 06 00 0 00 0 000 110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Cs/>
                <w:sz w:val="20"/>
                <w:szCs w:val="20"/>
              </w:rPr>
            </w:pPr>
            <w:r>
              <w:rPr>
                <w:bCs/>
                <w:sz w:val="20"/>
                <w:szCs w:val="20"/>
              </w:rPr>
              <w:t>1.4.2. Земельный налог</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120 879,60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121 604,90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122 334,50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xml:space="preserve">1 08 00 00 0 00 0 000 000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1.5. ГОСУДАРСТВЕННАЯ ПОШЛИНА</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10 403,00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10 894,60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11 343,60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Cs/>
                <w:sz w:val="20"/>
                <w:szCs w:val="20"/>
              </w:rPr>
            </w:pPr>
            <w:r>
              <w:rPr>
                <w:bCs/>
                <w:sz w:val="20"/>
                <w:szCs w:val="20"/>
              </w:rPr>
              <w:t xml:space="preserve">1 08 03 00 0 01 0 000 110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Cs/>
                <w:sz w:val="20"/>
                <w:szCs w:val="20"/>
              </w:rPr>
            </w:pPr>
            <w:r>
              <w:rPr>
                <w:bCs/>
                <w:sz w:val="20"/>
                <w:szCs w:val="20"/>
              </w:rPr>
              <w:t>1.5.1. Государственная пошлина по делам, рассматриваемым в судах общей юрисдикции, мировыми судьями</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10 253,00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10 738,60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11 180,60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Cs/>
                <w:sz w:val="20"/>
                <w:szCs w:val="20"/>
              </w:rPr>
            </w:pPr>
            <w:r>
              <w:rPr>
                <w:bCs/>
                <w:sz w:val="20"/>
                <w:szCs w:val="20"/>
              </w:rPr>
              <w:t xml:space="preserve">1 08 07 00 0 01 0 000 110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Cs/>
                <w:sz w:val="20"/>
                <w:szCs w:val="20"/>
              </w:rPr>
            </w:pPr>
            <w:r>
              <w:rPr>
                <w:bCs/>
                <w:sz w:val="20"/>
                <w:szCs w:val="20"/>
              </w:rPr>
              <w:t>1.5.2. Государственная пошлина за государственную регистрацию, а также за совершение прочих юридически значимых действий</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150,00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156,00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sz w:val="20"/>
                <w:szCs w:val="20"/>
              </w:rPr>
            </w:pPr>
            <w:r>
              <w:rPr>
                <w:bCs/>
                <w:sz w:val="20"/>
                <w:szCs w:val="20"/>
              </w:rPr>
              <w:t>163,00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xml:space="preserve">1 11 00 00 0 00 0 000 000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1.6. ДОХОДЫ ОТ ИСПОЛЬЗОВАНИЯ ИМУЩЕСТВА, НАХОДЯЩЕГОСЯ В ГОСУДАРСТВЕННОЙ И МУНИЦИПАЛЬНОЙ СОБСТВЕННОСТИ</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35 573,10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28 350,50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29 484,50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 xml:space="preserve">1 11 05 00 0 00 0 000 120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1.6.1.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29 928,80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22 446,60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23 344,40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 xml:space="preserve">1 11 05 30 0 00 0 000 120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1.6.2. 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30,00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31,40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32,70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 xml:space="preserve">1 11 07 00 0 00 0 000 120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1.6.3. Платежи от государственных и муниципальных унитарных предприятий</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26,70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27,90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29,00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 xml:space="preserve">1 11 09 00 0 00 0 000 120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1.6.4.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5 587,60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5 844,60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6 078,40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xml:space="preserve">1 12 00 00 0 00 0 000 000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1.7. ПЛАТЕЖИ ПРИ ПОЛЬЗОВАНИИ ПРИРОДНЫМИ РЕСУРСАМИ</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3 429,00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3 586,70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3 730,20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 xml:space="preserve">1 12 01 00 0 01 0 000 120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1.7.1. Плата за негативное воздействие на окружающую среду</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color w:val="000000"/>
                <w:sz w:val="20"/>
                <w:szCs w:val="20"/>
              </w:rPr>
            </w:pPr>
            <w:r>
              <w:rPr>
                <w:bCs/>
                <w:color w:val="000000"/>
                <w:sz w:val="20"/>
                <w:szCs w:val="20"/>
              </w:rPr>
              <w:t>3 429,00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color w:val="000000"/>
                <w:sz w:val="20"/>
                <w:szCs w:val="20"/>
              </w:rPr>
            </w:pPr>
            <w:r>
              <w:rPr>
                <w:bCs/>
                <w:color w:val="000000"/>
                <w:sz w:val="20"/>
                <w:szCs w:val="20"/>
              </w:rPr>
              <w:t>3 586,70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color w:val="000000"/>
                <w:sz w:val="20"/>
                <w:szCs w:val="20"/>
              </w:rPr>
            </w:pPr>
            <w:r>
              <w:rPr>
                <w:bCs/>
                <w:color w:val="000000"/>
                <w:sz w:val="20"/>
                <w:szCs w:val="20"/>
              </w:rPr>
              <w:t>3 730,20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xml:space="preserve">1 13 00 00 0 00 0 000 000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1.8. ДОХОДЫ ОТ ОКАЗАНИЯ ПЛАТНЫХ УСЛУГ И КОМПЕНСАЦИИ ЗАТРАТ ГОСУДАРСТВА</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227,20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237,80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247,30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 xml:space="preserve">1 13 02 00 0 00 0 000 130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1.8.1. Доходы от компенсации затрат государства</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color w:val="000000"/>
                <w:sz w:val="20"/>
                <w:szCs w:val="20"/>
              </w:rPr>
            </w:pPr>
            <w:r>
              <w:rPr>
                <w:bCs/>
                <w:color w:val="000000"/>
                <w:sz w:val="20"/>
                <w:szCs w:val="20"/>
              </w:rPr>
              <w:t>227,20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color w:val="000000"/>
                <w:sz w:val="20"/>
                <w:szCs w:val="20"/>
              </w:rPr>
            </w:pPr>
            <w:r>
              <w:rPr>
                <w:bCs/>
                <w:color w:val="000000"/>
                <w:sz w:val="20"/>
                <w:szCs w:val="20"/>
              </w:rPr>
              <w:t>237,80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Cs/>
                <w:color w:val="000000"/>
                <w:sz w:val="20"/>
                <w:szCs w:val="20"/>
              </w:rPr>
            </w:pPr>
            <w:r>
              <w:rPr>
                <w:bCs/>
                <w:color w:val="000000"/>
                <w:sz w:val="20"/>
                <w:szCs w:val="20"/>
              </w:rPr>
              <w:t>247,30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xml:space="preserve">1 14 00 00 0 00 0 000 000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1.9.ДОХОДЫ ОТ ПРОДАЖИ МАТЕРИАЛЬНЫХ И НЕМАТЕРИАЛЬНЫХ АКТИВОВ</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16 900,00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15 210,00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13 689,00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 xml:space="preserve">1 14 06 00 0 00 0 000 430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1.9.1. Доходы от продажи земельных участков, находящихся в государственной и муниципальной собственности</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9 500,00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8 550,00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7 695,00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 xml:space="preserve">1 14 06 30 0 00 0 000 430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1.9.2.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6 500,00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5 850,00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5 265,00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 xml:space="preserve">1 14 13 00 0 00 0 000 000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1.9.3. Доходы от приватизации имущества, находящегося в государственной и муниципальной собственности</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900,00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810,00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729,00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xml:space="preserve">1 16 00 00 0 00 0 000 000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1.10. ШТРАФЫ, САНКЦИИ, ВОЗМЕЩЕНИЕ УЩЕРБА</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1 123,50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1 175,20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1 222,20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 xml:space="preserve">1 16 01 00 0 01 0 000 140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1.10.1. Административные штрафы, установленные Кодексом Российской Федерации об административных правонарушениях</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947,40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991,00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1 030,70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 xml:space="preserve">1 16 02 00 0 02 0 000 140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1.10.2. Административные штрафы, установленные законами субъектов Российской Федерации об административных правонарушениях</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97,90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102,30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106,40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 xml:space="preserve">1 16 07 00 0 00 0 000 140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1.10.3.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27,80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29,10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30,20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 xml:space="preserve">1 16 11 00 0 01 0 000 140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1.10.4. Платежи, уплачиваемые в целях возмещения вреда</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50,40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52,80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54,90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xml:space="preserve">1 17 00 00 0 00 0 000 000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1.11. ПРОЧИЕ НЕНАЛОГОВЫЕ ДОХОДЫ</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878,10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918,30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20"/>
                <w:szCs w:val="20"/>
              </w:rPr>
            </w:pPr>
            <w:r>
              <w:rPr>
                <w:b/>
                <w:bCs/>
                <w:color w:val="000000"/>
                <w:sz w:val="20"/>
                <w:szCs w:val="20"/>
              </w:rPr>
              <w:t>955,10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 xml:space="preserve">1 17 05 00 0 00 0 000 180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1.11.1. Прочие неналоговые доходы</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515,10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538,60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560,20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 xml:space="preserve">1 17 15 00 0 00 0 000 150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1.11.2. Инициативные платежи</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363,00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379,70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color w:val="000000"/>
                <w:sz w:val="20"/>
                <w:szCs w:val="20"/>
              </w:rPr>
            </w:pPr>
            <w:r>
              <w:rPr>
                <w:color w:val="000000"/>
                <w:sz w:val="20"/>
                <w:szCs w:val="20"/>
              </w:rPr>
              <w:t>394,90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xml:space="preserve">2 00 00 00 0 00 0 000 000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2. БЕЗВОЗМЕЗДНЫЕ ПОСТУПЛЕНИЯ</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17"/>
                <w:szCs w:val="17"/>
              </w:rPr>
            </w:pPr>
            <w:r>
              <w:rPr>
                <w:b/>
                <w:bCs/>
                <w:color w:val="000000"/>
                <w:sz w:val="17"/>
                <w:szCs w:val="17"/>
              </w:rPr>
              <w:t>1 718 044,50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17"/>
                <w:szCs w:val="17"/>
              </w:rPr>
            </w:pPr>
            <w:r>
              <w:rPr>
                <w:b/>
                <w:bCs/>
                <w:color w:val="000000"/>
                <w:sz w:val="17"/>
                <w:szCs w:val="17"/>
              </w:rPr>
              <w:t>1 496 436,00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17"/>
                <w:szCs w:val="17"/>
              </w:rPr>
            </w:pPr>
            <w:r>
              <w:rPr>
                <w:b/>
                <w:bCs/>
                <w:color w:val="000000"/>
                <w:sz w:val="17"/>
                <w:szCs w:val="17"/>
              </w:rPr>
              <w:t>1 410 510,10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xml:space="preserve">2 02 00 00 0 00 0 000 000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2.1. БЕЗВОЗМЕЗДНЫЕ ПОСТУПЛЕНИЯ ОТ ДРУГИХ БЮДЖЕТОВ БЮДЖЕТНОЙ СИСТЕМЫ РОССИЙСКОЙ ФЕДЕРАЦИИ</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17"/>
                <w:szCs w:val="17"/>
              </w:rPr>
            </w:pPr>
            <w:r>
              <w:rPr>
                <w:b/>
                <w:bCs/>
                <w:color w:val="000000"/>
                <w:sz w:val="17"/>
                <w:szCs w:val="17"/>
              </w:rPr>
              <w:t>1 718 044,50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17"/>
                <w:szCs w:val="17"/>
              </w:rPr>
            </w:pPr>
            <w:r>
              <w:rPr>
                <w:b/>
                <w:bCs/>
                <w:color w:val="000000"/>
                <w:sz w:val="17"/>
                <w:szCs w:val="17"/>
              </w:rPr>
              <w:t>1 496 436,00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color w:val="000000"/>
                <w:sz w:val="17"/>
                <w:szCs w:val="17"/>
              </w:rPr>
            </w:pPr>
            <w:r>
              <w:rPr>
                <w:b/>
                <w:bCs/>
                <w:color w:val="000000"/>
                <w:sz w:val="17"/>
                <w:szCs w:val="17"/>
              </w:rPr>
              <w:t>1 410 510,10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sz w:val="20"/>
                <w:szCs w:val="20"/>
              </w:rPr>
            </w:pPr>
            <w:r>
              <w:rPr>
                <w:b/>
                <w:bCs/>
                <w:sz w:val="20"/>
                <w:szCs w:val="20"/>
              </w:rPr>
              <w:t xml:space="preserve">2 02 10 00 0 00 0 000 150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sz w:val="20"/>
                <w:szCs w:val="20"/>
              </w:rPr>
            </w:pPr>
            <w:r>
              <w:rPr>
                <w:b/>
                <w:bCs/>
                <w:sz w:val="20"/>
                <w:szCs w:val="20"/>
              </w:rPr>
              <w:t>2.1.1. Дотации бюджетам бюджетной системы Российской Федерации</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sz w:val="20"/>
                <w:szCs w:val="20"/>
              </w:rPr>
            </w:pPr>
            <w:r>
              <w:rPr>
                <w:b/>
                <w:bCs/>
                <w:sz w:val="20"/>
                <w:szCs w:val="20"/>
              </w:rPr>
              <w:t>465 372,30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sz w:val="17"/>
                <w:szCs w:val="17"/>
              </w:rPr>
            </w:pPr>
            <w:r>
              <w:rPr>
                <w:b/>
                <w:bCs/>
                <w:sz w:val="17"/>
                <w:szCs w:val="17"/>
              </w:rPr>
              <w:t>370 525, 70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sz w:val="20"/>
                <w:szCs w:val="20"/>
              </w:rPr>
            </w:pPr>
            <w:r>
              <w:rPr>
                <w:b/>
                <w:bCs/>
                <w:sz w:val="20"/>
                <w:szCs w:val="20"/>
              </w:rPr>
              <w:t>284 386,50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sz w:val="20"/>
                <w:szCs w:val="20"/>
              </w:rPr>
            </w:pPr>
            <w:r>
              <w:rPr>
                <w:b/>
                <w:bCs/>
                <w:sz w:val="20"/>
                <w:szCs w:val="20"/>
              </w:rPr>
              <w:t xml:space="preserve">2 02 20 00 0 00 0 000 150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sz w:val="20"/>
                <w:szCs w:val="20"/>
              </w:rPr>
            </w:pPr>
            <w:r>
              <w:rPr>
                <w:b/>
                <w:bCs/>
                <w:sz w:val="20"/>
                <w:szCs w:val="20"/>
              </w:rPr>
              <w:t>2.1.2. Субсидии бюджетам бюджетной системы Российской Федерации (межбюджетные субсидии)</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sz w:val="20"/>
                <w:szCs w:val="20"/>
              </w:rPr>
            </w:pPr>
            <w:r>
              <w:rPr>
                <w:b/>
                <w:bCs/>
                <w:sz w:val="20"/>
                <w:szCs w:val="20"/>
              </w:rPr>
              <w:t>191 100,80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sz w:val="20"/>
                <w:szCs w:val="20"/>
              </w:rPr>
            </w:pPr>
            <w:r>
              <w:rPr>
                <w:b/>
                <w:bCs/>
                <w:sz w:val="20"/>
                <w:szCs w:val="20"/>
              </w:rPr>
              <w:t>101 542,60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sz w:val="20"/>
                <w:szCs w:val="20"/>
              </w:rPr>
            </w:pPr>
            <w:r>
              <w:rPr>
                <w:b/>
                <w:bCs/>
                <w:sz w:val="20"/>
                <w:szCs w:val="20"/>
              </w:rPr>
              <w:t>99 739,60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sz w:val="20"/>
                <w:szCs w:val="20"/>
              </w:rPr>
            </w:pPr>
            <w:r>
              <w:rPr>
                <w:b/>
                <w:bCs/>
                <w:sz w:val="20"/>
                <w:szCs w:val="20"/>
              </w:rPr>
              <w:t xml:space="preserve">2 02 30 00 0 00 0 000 150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sz w:val="20"/>
                <w:szCs w:val="20"/>
              </w:rPr>
            </w:pPr>
            <w:r>
              <w:rPr>
                <w:b/>
                <w:bCs/>
                <w:sz w:val="20"/>
                <w:szCs w:val="20"/>
              </w:rPr>
              <w:t>2.1.3. Субвенции бюджетам бюджетной системы Российской Федерации</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sz w:val="17"/>
                <w:szCs w:val="17"/>
              </w:rPr>
            </w:pPr>
            <w:r>
              <w:rPr>
                <w:b/>
                <w:bCs/>
                <w:sz w:val="17"/>
                <w:szCs w:val="17"/>
              </w:rPr>
              <w:t>1 016 221,30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sz w:val="17"/>
                <w:szCs w:val="17"/>
              </w:rPr>
            </w:pPr>
            <w:r>
              <w:rPr>
                <w:b/>
                <w:bCs/>
                <w:sz w:val="17"/>
                <w:szCs w:val="17"/>
              </w:rPr>
              <w:t>1 021 676,90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sz w:val="17"/>
                <w:szCs w:val="17"/>
              </w:rPr>
            </w:pPr>
            <w:r>
              <w:rPr>
                <w:b/>
                <w:bCs/>
                <w:sz w:val="17"/>
                <w:szCs w:val="17"/>
              </w:rPr>
              <w:t>1 026 222,40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sz w:val="20"/>
                <w:szCs w:val="20"/>
              </w:rPr>
            </w:pPr>
            <w:r>
              <w:rPr>
                <w:b/>
                <w:bCs/>
                <w:sz w:val="20"/>
                <w:szCs w:val="20"/>
              </w:rPr>
              <w:t xml:space="preserve">2 02 40 00 0 00 0 000 150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sz w:val="20"/>
                <w:szCs w:val="20"/>
              </w:rPr>
            </w:pPr>
            <w:r>
              <w:rPr>
                <w:b/>
                <w:bCs/>
                <w:sz w:val="20"/>
                <w:szCs w:val="20"/>
              </w:rPr>
              <w:t>2.1.4. Иные межбюджетные трансферты</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sz w:val="20"/>
                <w:szCs w:val="20"/>
              </w:rPr>
            </w:pPr>
            <w:r>
              <w:rPr>
                <w:b/>
                <w:bCs/>
                <w:sz w:val="20"/>
                <w:szCs w:val="20"/>
              </w:rPr>
              <w:t>45 350,10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sz w:val="20"/>
                <w:szCs w:val="20"/>
              </w:rPr>
            </w:pPr>
            <w:r>
              <w:rPr>
                <w:b/>
                <w:bCs/>
                <w:sz w:val="20"/>
                <w:szCs w:val="20"/>
              </w:rPr>
              <w:t>2 690,80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sz w:val="20"/>
                <w:szCs w:val="20"/>
              </w:rPr>
            </w:pPr>
            <w:r>
              <w:rPr>
                <w:b/>
                <w:bCs/>
                <w:sz w:val="20"/>
                <w:szCs w:val="20"/>
              </w:rPr>
              <w:t>161,60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dxa"/>
          <w:wAfter w:w="0" w:type="dxa"/>
          <w:trHeight w:val="20" w:hRule="atLeast"/>
        </w:trPr>
        <w:tc>
          <w:tcPr>
            <w:tcW w:w="1212" w:type="pct"/>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sz w:val="20"/>
                <w:szCs w:val="20"/>
              </w:rPr>
            </w:pPr>
            <w:r>
              <w:rPr>
                <w:b/>
                <w:bCs/>
                <w:sz w:val="20"/>
                <w:szCs w:val="20"/>
              </w:rPr>
              <w:t> </w:t>
            </w:r>
          </w:p>
        </w:tc>
        <w:tc>
          <w:tcPr>
            <w:tcW w:w="2197"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both"/>
              <w:rPr>
                <w:b/>
                <w:bCs/>
                <w:sz w:val="20"/>
                <w:szCs w:val="20"/>
              </w:rPr>
            </w:pPr>
            <w:r>
              <w:rPr>
                <w:b/>
                <w:bCs/>
                <w:sz w:val="20"/>
                <w:szCs w:val="20"/>
              </w:rPr>
              <w:t>ИТОГО ДОХОДОВ</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sz w:val="17"/>
                <w:szCs w:val="17"/>
              </w:rPr>
            </w:pPr>
            <w:r>
              <w:rPr>
                <w:b/>
                <w:bCs/>
                <w:sz w:val="17"/>
                <w:szCs w:val="17"/>
              </w:rPr>
              <w:t>2 460 437,90</w:t>
            </w:r>
          </w:p>
        </w:tc>
        <w:tc>
          <w:tcPr>
            <w:tcW w:w="531"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sz w:val="17"/>
                <w:szCs w:val="17"/>
              </w:rPr>
            </w:pPr>
            <w:r>
              <w:rPr>
                <w:b/>
                <w:bCs/>
                <w:sz w:val="17"/>
                <w:szCs w:val="17"/>
              </w:rPr>
              <w:t>2 358 016,90</w:t>
            </w:r>
          </w:p>
        </w:tc>
        <w:tc>
          <w:tcPr>
            <w:tcW w:w="528" w:type="pct"/>
            <w:tcBorders>
              <w:top w:val="nil"/>
              <w:left w:val="nil"/>
              <w:bottom w:val="single" w:color="auto" w:sz="4" w:space="0"/>
              <w:right w:val="single" w:color="auto" w:sz="4" w:space="0"/>
            </w:tcBorders>
            <w:shd w:val="clear" w:color="auto" w:fill="auto"/>
            <w:noWrap w:val="0"/>
            <w:tcMar>
              <w:left w:w="28" w:type="dxa"/>
              <w:right w:w="28" w:type="dxa"/>
            </w:tcMar>
            <w:vAlign w:val="bottom"/>
          </w:tcPr>
          <w:p>
            <w:pPr>
              <w:jc w:val="center"/>
              <w:rPr>
                <w:b/>
                <w:bCs/>
                <w:sz w:val="17"/>
                <w:szCs w:val="17"/>
              </w:rPr>
            </w:pPr>
            <w:r>
              <w:rPr>
                <w:b/>
                <w:bCs/>
                <w:sz w:val="17"/>
                <w:szCs w:val="17"/>
              </w:rPr>
              <w:t>2 354 193,70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dxa"/>
          <w:wAfter w:w="0" w:type="dxa"/>
          <w:trHeight w:val="20" w:hRule="atLeast"/>
        </w:trPr>
        <w:tc>
          <w:tcPr>
            <w:tcW w:w="1212" w:type="pct"/>
            <w:tcBorders>
              <w:top w:val="nil"/>
              <w:left w:val="nil"/>
              <w:bottom w:val="nil"/>
              <w:right w:val="nil"/>
            </w:tcBorders>
            <w:shd w:val="clear" w:color="auto" w:fill="auto"/>
            <w:noWrap/>
            <w:tcMar>
              <w:left w:w="28" w:type="dxa"/>
              <w:right w:w="28" w:type="dxa"/>
            </w:tcMar>
            <w:vAlign w:val="bottom"/>
          </w:tcPr>
          <w:p>
            <w:pPr>
              <w:rPr>
                <w:rFonts w:cs="Calibri"/>
                <w:color w:val="000000"/>
                <w:sz w:val="20"/>
                <w:szCs w:val="20"/>
              </w:rPr>
            </w:pPr>
          </w:p>
        </w:tc>
        <w:tc>
          <w:tcPr>
            <w:tcW w:w="2197" w:type="pct"/>
            <w:tcBorders>
              <w:top w:val="nil"/>
              <w:left w:val="nil"/>
              <w:bottom w:val="nil"/>
              <w:right w:val="nil"/>
            </w:tcBorders>
            <w:shd w:val="clear" w:color="auto" w:fill="auto"/>
            <w:noWrap/>
            <w:tcMar>
              <w:left w:w="28" w:type="dxa"/>
              <w:right w:w="28" w:type="dxa"/>
            </w:tcMar>
            <w:vAlign w:val="bottom"/>
          </w:tcPr>
          <w:p>
            <w:pPr>
              <w:rPr>
                <w:rFonts w:cs="Calibri"/>
                <w:color w:val="000000"/>
                <w:sz w:val="20"/>
                <w:szCs w:val="20"/>
              </w:rPr>
            </w:pPr>
          </w:p>
        </w:tc>
        <w:tc>
          <w:tcPr>
            <w:tcW w:w="531" w:type="pct"/>
            <w:tcBorders>
              <w:top w:val="nil"/>
              <w:left w:val="nil"/>
              <w:bottom w:val="nil"/>
              <w:right w:val="nil"/>
            </w:tcBorders>
            <w:shd w:val="clear" w:color="auto" w:fill="auto"/>
            <w:noWrap/>
            <w:tcMar>
              <w:left w:w="28" w:type="dxa"/>
              <w:right w:w="28" w:type="dxa"/>
            </w:tcMar>
            <w:vAlign w:val="bottom"/>
          </w:tcPr>
          <w:p>
            <w:pPr>
              <w:jc w:val="center"/>
              <w:rPr>
                <w:rFonts w:cs="Calibri"/>
                <w:color w:val="000000"/>
                <w:sz w:val="20"/>
                <w:szCs w:val="20"/>
              </w:rPr>
            </w:pPr>
          </w:p>
        </w:tc>
        <w:tc>
          <w:tcPr>
            <w:tcW w:w="531" w:type="pct"/>
            <w:tcBorders>
              <w:top w:val="nil"/>
              <w:left w:val="nil"/>
              <w:bottom w:val="nil"/>
              <w:right w:val="nil"/>
            </w:tcBorders>
            <w:shd w:val="clear" w:color="auto" w:fill="auto"/>
            <w:noWrap/>
            <w:tcMar>
              <w:left w:w="28" w:type="dxa"/>
              <w:right w:w="28" w:type="dxa"/>
            </w:tcMar>
            <w:vAlign w:val="bottom"/>
          </w:tcPr>
          <w:p>
            <w:pPr>
              <w:jc w:val="center"/>
              <w:rPr>
                <w:rFonts w:cs="Calibri"/>
                <w:color w:val="000000"/>
                <w:sz w:val="20"/>
                <w:szCs w:val="20"/>
              </w:rPr>
            </w:pPr>
          </w:p>
        </w:tc>
        <w:tc>
          <w:tcPr>
            <w:tcW w:w="528" w:type="pct"/>
            <w:tcBorders>
              <w:top w:val="nil"/>
              <w:left w:val="nil"/>
              <w:bottom w:val="nil"/>
              <w:right w:val="nil"/>
            </w:tcBorders>
            <w:shd w:val="clear" w:color="auto" w:fill="auto"/>
            <w:noWrap/>
            <w:tcMar>
              <w:left w:w="28" w:type="dxa"/>
              <w:right w:w="28" w:type="dxa"/>
            </w:tcMar>
            <w:vAlign w:val="bottom"/>
          </w:tcPr>
          <w:p>
            <w:pPr>
              <w:jc w:val="center"/>
              <w:rPr>
                <w:rFonts w:cs="Calibri"/>
                <w:color w:val="000000"/>
                <w:sz w:val="20"/>
                <w:szCs w:val="20"/>
              </w:rPr>
            </w:pPr>
          </w:p>
        </w:tc>
      </w:tr>
    </w:tbl>
    <w:p>
      <w:pPr>
        <w:jc w:val="center"/>
        <w:sectPr>
          <w:headerReference r:id="rId8" w:type="first"/>
          <w:headerReference r:id="rId6" w:type="default"/>
          <w:headerReference r:id="rId7" w:type="even"/>
          <w:pgSz w:w="11906" w:h="16838"/>
          <w:pgMar w:top="1134" w:right="850" w:bottom="1134" w:left="1701" w:header="709" w:footer="709" w:gutter="0"/>
          <w:pgNumType w:start="1"/>
          <w:cols w:space="708" w:num="1"/>
          <w:titlePg/>
          <w:docGrid w:linePitch="360" w:charSpace="0"/>
        </w:sectPr>
      </w:pPr>
      <w:r>
        <w:t>__________________</w:t>
      </w:r>
    </w:p>
    <w:p>
      <w:pPr>
        <w:jc w:val="center"/>
        <w:sectPr>
          <w:type w:val="continuous"/>
          <w:pgSz w:w="11906" w:h="16838"/>
          <w:pgMar w:top="1134" w:right="850" w:bottom="1134" w:left="1701" w:header="709" w:footer="709" w:gutter="0"/>
          <w:pgNumType w:start="1"/>
          <w:cols w:space="708" w:num="1"/>
          <w:titlePg/>
          <w:docGrid w:linePitch="360" w:charSpace="0"/>
        </w:sectPr>
      </w:pPr>
    </w:p>
    <w:p>
      <w:pPr>
        <w:tabs>
          <w:tab w:val="left" w:pos="568"/>
        </w:tabs>
        <w:ind w:firstLine="5580"/>
        <w:jc w:val="center"/>
        <w:rPr>
          <w:rFonts w:eastAsia="Lucida Sans Unicode"/>
          <w:kern w:val="2"/>
          <w:sz w:val="28"/>
          <w:szCs w:val="28"/>
        </w:rPr>
      </w:pPr>
      <w:r>
        <w:rPr>
          <w:rFonts w:eastAsia="Lucida Sans Unicode"/>
          <w:kern w:val="2"/>
          <w:sz w:val="28"/>
          <w:szCs w:val="28"/>
        </w:rPr>
        <w:t>ПРИЛОЖЕНИЕ 2</w:t>
      </w:r>
    </w:p>
    <w:p>
      <w:pPr>
        <w:tabs>
          <w:tab w:val="left" w:pos="568"/>
        </w:tabs>
        <w:ind w:firstLine="5580"/>
        <w:jc w:val="center"/>
        <w:rPr>
          <w:rFonts w:eastAsia="Lucida Sans Unicode"/>
          <w:kern w:val="2"/>
          <w:sz w:val="28"/>
          <w:szCs w:val="28"/>
        </w:rPr>
      </w:pPr>
    </w:p>
    <w:p>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pPr>
        <w:tabs>
          <w:tab w:val="left" w:pos="568"/>
        </w:tabs>
        <w:ind w:firstLine="5580"/>
        <w:jc w:val="center"/>
        <w:rPr>
          <w:rFonts w:eastAsia="Lucida Sans Unicode"/>
          <w:kern w:val="2"/>
          <w:sz w:val="28"/>
          <w:szCs w:val="28"/>
        </w:rPr>
      </w:pPr>
      <w:r>
        <w:rPr>
          <w:rFonts w:eastAsia="Lucida Sans Unicode"/>
          <w:kern w:val="2"/>
          <w:sz w:val="28"/>
          <w:szCs w:val="28"/>
        </w:rPr>
        <w:t xml:space="preserve">округа Нижегородской области </w:t>
      </w:r>
    </w:p>
    <w:p>
      <w:pPr>
        <w:tabs>
          <w:tab w:val="left" w:pos="568"/>
        </w:tabs>
        <w:ind w:firstLine="5580"/>
        <w:jc w:val="center"/>
        <w:rPr>
          <w:rFonts w:eastAsia="Lucida Sans Unicode"/>
          <w:kern w:val="2"/>
          <w:sz w:val="28"/>
          <w:szCs w:val="28"/>
        </w:rPr>
      </w:pPr>
      <w:r>
        <w:rPr>
          <w:rFonts w:eastAsia="Lucida Sans Unicode"/>
          <w:kern w:val="2"/>
          <w:sz w:val="28"/>
          <w:szCs w:val="28"/>
        </w:rPr>
        <w:t>от 15.12.2022 № 147</w:t>
      </w:r>
    </w:p>
    <w:p>
      <w:pPr>
        <w:pStyle w:val="40"/>
        <w:jc w:val="center"/>
        <w:rPr>
          <w:rFonts w:ascii="Times New Roman" w:hAnsi="Times New Roman" w:cs="Times New Roman"/>
          <w:b/>
          <w:bCs/>
          <w:sz w:val="28"/>
          <w:szCs w:val="28"/>
        </w:rPr>
      </w:pPr>
    </w:p>
    <w:p>
      <w:pPr>
        <w:pStyle w:val="40"/>
        <w:ind w:firstLine="0"/>
        <w:jc w:val="center"/>
        <w:rPr>
          <w:rFonts w:ascii="Times New Roman" w:hAnsi="Times New Roman" w:cs="Times New Roman"/>
          <w:b/>
          <w:bCs/>
          <w:sz w:val="28"/>
          <w:szCs w:val="28"/>
        </w:rPr>
      </w:pPr>
      <w:r>
        <w:rPr>
          <w:rFonts w:ascii="Times New Roman" w:hAnsi="Times New Roman" w:cs="Times New Roman"/>
          <w:b/>
          <w:bCs/>
          <w:sz w:val="28"/>
          <w:szCs w:val="28"/>
        </w:rPr>
        <w:t>Нормативы</w:t>
      </w:r>
    </w:p>
    <w:p>
      <w:pPr>
        <w:pStyle w:val="40"/>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зачисления недоимки, пени и штрафов по отмененным налогам </w:t>
      </w:r>
    </w:p>
    <w:p>
      <w:pPr>
        <w:pStyle w:val="40"/>
        <w:ind w:firstLine="0"/>
        <w:jc w:val="center"/>
        <w:rPr>
          <w:rFonts w:ascii="Times New Roman" w:hAnsi="Times New Roman" w:cs="Times New Roman"/>
          <w:b/>
          <w:sz w:val="28"/>
          <w:szCs w:val="28"/>
        </w:rPr>
      </w:pPr>
      <w:r>
        <w:rPr>
          <w:rFonts w:ascii="Times New Roman" w:hAnsi="Times New Roman" w:cs="Times New Roman"/>
          <w:b/>
          <w:bCs/>
          <w:sz w:val="28"/>
          <w:szCs w:val="28"/>
        </w:rPr>
        <w:t xml:space="preserve">и сборам в </w:t>
      </w:r>
      <w:r>
        <w:rPr>
          <w:rFonts w:ascii="Times New Roman" w:hAnsi="Times New Roman" w:cs="Times New Roman"/>
          <w:b/>
          <w:sz w:val="28"/>
          <w:szCs w:val="28"/>
        </w:rPr>
        <w:t xml:space="preserve">бюджет муниципального округа </w:t>
      </w:r>
    </w:p>
    <w:p>
      <w:pPr>
        <w:pStyle w:val="40"/>
        <w:jc w:val="right"/>
        <w:rPr>
          <w:rFonts w:ascii="Times New Roman" w:hAnsi="Times New Roman" w:cs="Times New Roman"/>
          <w:sz w:val="28"/>
          <w:szCs w:val="28"/>
        </w:rPr>
      </w:pPr>
      <w:r>
        <w:rPr>
          <w:rFonts w:ascii="Times New Roman" w:hAnsi="Times New Roman" w:cs="Times New Roman"/>
          <w:sz w:val="28"/>
          <w:szCs w:val="28"/>
        </w:rPr>
        <w:t>(в процентах)</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842" w:hRule="atLeast"/>
          <w:tblHeader/>
        </w:trPr>
        <w:tc>
          <w:tcPr>
            <w:tcW w:w="6663" w:type="dxa"/>
            <w:noWrap w:val="0"/>
            <w:vAlign w:val="center"/>
          </w:tcPr>
          <w:p>
            <w:pPr>
              <w:pStyle w:val="40"/>
              <w:overflowPunct w:val="0"/>
              <w:ind w:firstLine="0"/>
              <w:jc w:val="center"/>
              <w:textAlignment w:val="baseline"/>
              <w:rPr>
                <w:rFonts w:ascii="Times New Roman" w:hAnsi="Times New Roman" w:cs="Times New Roman"/>
                <w:b/>
                <w:kern w:val="32"/>
                <w:sz w:val="24"/>
                <w:szCs w:val="24"/>
              </w:rPr>
            </w:pPr>
            <w:r>
              <w:rPr>
                <w:rFonts w:ascii="Times New Roman" w:hAnsi="Times New Roman" w:cs="Times New Roman"/>
                <w:b/>
                <w:kern w:val="32"/>
                <w:sz w:val="24"/>
                <w:szCs w:val="24"/>
              </w:rPr>
              <w:t>Наименование</w:t>
            </w:r>
          </w:p>
          <w:p>
            <w:pPr>
              <w:pStyle w:val="40"/>
              <w:overflowPunct w:val="0"/>
              <w:ind w:firstLine="0"/>
              <w:jc w:val="center"/>
              <w:textAlignment w:val="baseline"/>
              <w:rPr>
                <w:rFonts w:ascii="Times New Roman" w:hAnsi="Times New Roman" w:cs="Times New Roman"/>
                <w:kern w:val="32"/>
                <w:sz w:val="24"/>
                <w:szCs w:val="24"/>
              </w:rPr>
            </w:pPr>
            <w:r>
              <w:rPr>
                <w:rFonts w:ascii="Times New Roman" w:hAnsi="Times New Roman" w:cs="Times New Roman"/>
                <w:b/>
                <w:kern w:val="32"/>
                <w:sz w:val="24"/>
                <w:szCs w:val="24"/>
              </w:rPr>
              <w:t>налога (сбора)</w:t>
            </w:r>
          </w:p>
        </w:tc>
        <w:tc>
          <w:tcPr>
            <w:tcW w:w="2693" w:type="dxa"/>
            <w:noWrap w:val="0"/>
            <w:vAlign w:val="center"/>
          </w:tcPr>
          <w:p>
            <w:pPr>
              <w:pStyle w:val="40"/>
              <w:overflowPunct w:val="0"/>
              <w:ind w:firstLine="0"/>
              <w:jc w:val="center"/>
              <w:textAlignment w:val="baseline"/>
              <w:rPr>
                <w:rFonts w:ascii="Times New Roman" w:hAnsi="Times New Roman" w:cs="Times New Roman"/>
                <w:b/>
                <w:kern w:val="32"/>
                <w:sz w:val="24"/>
                <w:szCs w:val="24"/>
              </w:rPr>
            </w:pPr>
            <w:r>
              <w:rPr>
                <w:rFonts w:ascii="Times New Roman" w:hAnsi="Times New Roman" w:cs="Times New Roman"/>
                <w:b/>
                <w:kern w:val="32"/>
                <w:sz w:val="24"/>
                <w:szCs w:val="24"/>
              </w:rPr>
              <w:t>Бюджет Богородского муниципального округа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663" w:type="dxa"/>
            <w:noWrap w:val="0"/>
            <w:vAlign w:val="top"/>
          </w:tcPr>
          <w:p>
            <w:pPr>
              <w:pStyle w:val="40"/>
              <w:overflowPunct w:val="0"/>
              <w:ind w:firstLine="0"/>
              <w:textAlignment w:val="baseline"/>
              <w:rPr>
                <w:rFonts w:ascii="Times New Roman" w:hAnsi="Times New Roman" w:cs="Times New Roman"/>
                <w:kern w:val="32"/>
                <w:sz w:val="28"/>
                <w:szCs w:val="28"/>
              </w:rPr>
            </w:pPr>
            <w:r>
              <w:rPr>
                <w:rFonts w:ascii="Times New Roman" w:hAnsi="Times New Roman" w:cs="Times New Roman"/>
                <w:kern w:val="32"/>
                <w:sz w:val="24"/>
                <w:szCs w:val="24"/>
              </w:rPr>
              <w:t>Земельный налог (по обязательствам, возникшим до 1 января 2006 года), мобилизуемый на территориях поселений</w:t>
            </w:r>
          </w:p>
        </w:tc>
        <w:tc>
          <w:tcPr>
            <w:tcW w:w="2693" w:type="dxa"/>
            <w:noWrap w:val="0"/>
            <w:vAlign w:val="top"/>
          </w:tcPr>
          <w:p>
            <w:pPr>
              <w:pStyle w:val="40"/>
              <w:overflowPunct w:val="0"/>
              <w:ind w:firstLine="0"/>
              <w:jc w:val="center"/>
              <w:textAlignment w:val="baseline"/>
              <w:rPr>
                <w:rFonts w:ascii="Times New Roman" w:hAnsi="Times New Roman" w:cs="Times New Roman"/>
                <w:kern w:val="32"/>
                <w:sz w:val="24"/>
                <w:szCs w:val="24"/>
                <w:lang w:val="en-US"/>
              </w:rPr>
            </w:pPr>
            <w:r>
              <w:rPr>
                <w:rFonts w:ascii="Times New Roman" w:hAnsi="Times New Roman" w:cs="Times New Roman"/>
                <w:kern w:val="32"/>
                <w:sz w:val="24"/>
                <w:szCs w:val="24"/>
                <w:lang w:val="en-U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663" w:type="dxa"/>
            <w:noWrap w:val="0"/>
            <w:vAlign w:val="top"/>
          </w:tcPr>
          <w:p>
            <w:pPr>
              <w:pStyle w:val="40"/>
              <w:overflowPunct w:val="0"/>
              <w:ind w:firstLine="0"/>
              <w:textAlignment w:val="baseline"/>
              <w:rPr>
                <w:rFonts w:ascii="Times New Roman" w:hAnsi="Times New Roman" w:cs="Times New Roman"/>
                <w:kern w:val="32"/>
                <w:sz w:val="28"/>
                <w:szCs w:val="28"/>
              </w:rPr>
            </w:pPr>
            <w:r>
              <w:rPr>
                <w:rFonts w:ascii="Times New Roman" w:hAnsi="Times New Roman" w:cs="Times New Roman"/>
                <w:kern w:val="32"/>
                <w:sz w:val="24"/>
                <w:szCs w:val="24"/>
              </w:rPr>
              <w:t>Налог на рекламу, мобилизуемый на территориях муниципальных районов</w:t>
            </w:r>
          </w:p>
        </w:tc>
        <w:tc>
          <w:tcPr>
            <w:tcW w:w="2693" w:type="dxa"/>
            <w:noWrap w:val="0"/>
            <w:vAlign w:val="top"/>
          </w:tcPr>
          <w:p>
            <w:pPr>
              <w:pStyle w:val="40"/>
              <w:overflowPunct w:val="0"/>
              <w:ind w:firstLine="0"/>
              <w:jc w:val="center"/>
              <w:textAlignment w:val="baseline"/>
              <w:rPr>
                <w:rFonts w:ascii="Times New Roman" w:hAnsi="Times New Roman" w:cs="Times New Roman"/>
                <w:kern w:val="32"/>
                <w:sz w:val="24"/>
                <w:szCs w:val="24"/>
              </w:rPr>
            </w:pPr>
            <w:r>
              <w:rPr>
                <w:rFonts w:ascii="Times New Roman" w:hAnsi="Times New Roman" w:cs="Times New Roman"/>
                <w:kern w:val="32"/>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6663" w:type="dxa"/>
            <w:noWrap w:val="0"/>
            <w:vAlign w:val="top"/>
          </w:tcPr>
          <w:p>
            <w:pPr>
              <w:pStyle w:val="40"/>
              <w:overflowPunct w:val="0"/>
              <w:ind w:firstLine="0"/>
              <w:textAlignment w:val="baseline"/>
              <w:rPr>
                <w:rFonts w:ascii="Times New Roman" w:hAnsi="Times New Roman" w:cs="Times New Roman"/>
                <w:kern w:val="32"/>
                <w:sz w:val="28"/>
                <w:szCs w:val="28"/>
              </w:rPr>
            </w:pPr>
            <w:r>
              <w:rPr>
                <w:rFonts w:ascii="Times New Roman" w:hAnsi="Times New Roman" w:cs="Times New Roman"/>
                <w:kern w:val="32"/>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2693" w:type="dxa"/>
            <w:noWrap w:val="0"/>
            <w:vAlign w:val="top"/>
          </w:tcPr>
          <w:p>
            <w:pPr>
              <w:pStyle w:val="40"/>
              <w:overflowPunct w:val="0"/>
              <w:ind w:firstLine="0"/>
              <w:jc w:val="center"/>
              <w:textAlignment w:val="baseline"/>
              <w:rPr>
                <w:rFonts w:ascii="Times New Roman" w:hAnsi="Times New Roman" w:cs="Times New Roman"/>
                <w:kern w:val="32"/>
                <w:sz w:val="24"/>
                <w:szCs w:val="24"/>
              </w:rPr>
            </w:pPr>
            <w:r>
              <w:rPr>
                <w:rFonts w:ascii="Times New Roman" w:hAnsi="Times New Roman" w:cs="Times New Roman"/>
                <w:kern w:val="32"/>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6663" w:type="dxa"/>
            <w:noWrap w:val="0"/>
            <w:vAlign w:val="top"/>
          </w:tcPr>
          <w:p>
            <w:pPr>
              <w:pStyle w:val="40"/>
              <w:overflowPunct w:val="0"/>
              <w:ind w:firstLine="0"/>
              <w:textAlignment w:val="baseline"/>
              <w:rPr>
                <w:rFonts w:ascii="Times New Roman" w:hAnsi="Times New Roman" w:cs="Times New Roman"/>
                <w:kern w:val="32"/>
                <w:sz w:val="28"/>
                <w:szCs w:val="28"/>
              </w:rPr>
            </w:pPr>
            <w:r>
              <w:rPr>
                <w:rFonts w:ascii="Times New Roman" w:hAnsi="Times New Roman" w:cs="Times New Roman"/>
                <w:kern w:val="32"/>
                <w:sz w:val="24"/>
                <w:szCs w:val="24"/>
              </w:rPr>
              <w:t>Прочие местные налоги и сборы, мобилизуемые на территориях муниципальных районов</w:t>
            </w:r>
          </w:p>
        </w:tc>
        <w:tc>
          <w:tcPr>
            <w:tcW w:w="2693" w:type="dxa"/>
            <w:noWrap w:val="0"/>
            <w:vAlign w:val="top"/>
          </w:tcPr>
          <w:p>
            <w:pPr>
              <w:pStyle w:val="40"/>
              <w:overflowPunct w:val="0"/>
              <w:ind w:firstLine="0"/>
              <w:jc w:val="center"/>
              <w:textAlignment w:val="baseline"/>
              <w:rPr>
                <w:rFonts w:ascii="Times New Roman" w:hAnsi="Times New Roman" w:cs="Times New Roman"/>
                <w:kern w:val="32"/>
                <w:sz w:val="24"/>
                <w:szCs w:val="24"/>
              </w:rPr>
            </w:pPr>
            <w:r>
              <w:rPr>
                <w:rFonts w:ascii="Times New Roman" w:hAnsi="Times New Roman" w:cs="Times New Roman"/>
                <w:kern w:val="32"/>
                <w:sz w:val="24"/>
                <w:szCs w:val="24"/>
              </w:rPr>
              <w:t>100</w:t>
            </w:r>
          </w:p>
        </w:tc>
      </w:tr>
    </w:tbl>
    <w:p>
      <w:pPr>
        <w:pStyle w:val="74"/>
        <w:spacing w:before="0"/>
      </w:pPr>
    </w:p>
    <w:p>
      <w:pPr>
        <w:pStyle w:val="74"/>
        <w:spacing w:before="0"/>
        <w:jc w:val="center"/>
      </w:pPr>
      <w:bookmarkStart w:id="0" w:name="_GoBack"/>
      <w:bookmarkEnd w:id="0"/>
      <w:r>
        <w:t>_________________</w:t>
      </w:r>
    </w:p>
    <w:p>
      <w:pPr>
        <w:tabs>
          <w:tab w:val="left" w:pos="568"/>
        </w:tabs>
        <w:ind w:firstLine="5580"/>
        <w:jc w:val="center"/>
        <w:rPr>
          <w:sz w:val="28"/>
          <w:szCs w:val="28"/>
        </w:rPr>
      </w:pPr>
    </w:p>
    <w:p>
      <w:pPr>
        <w:tabs>
          <w:tab w:val="left" w:pos="568"/>
        </w:tabs>
        <w:ind w:firstLine="5580"/>
        <w:jc w:val="center"/>
        <w:rPr>
          <w:sz w:val="28"/>
          <w:szCs w:val="28"/>
        </w:rPr>
        <w:sectPr>
          <w:pgSz w:w="11906" w:h="16838"/>
          <w:pgMar w:top="1134" w:right="850" w:bottom="1134" w:left="1701" w:header="709" w:footer="709" w:gutter="0"/>
          <w:pgNumType w:start="1"/>
          <w:cols w:space="708" w:num="1"/>
          <w:titlePg/>
          <w:docGrid w:linePitch="360" w:charSpace="0"/>
        </w:sectPr>
      </w:pPr>
    </w:p>
    <w:p>
      <w:pPr>
        <w:tabs>
          <w:tab w:val="left" w:pos="568"/>
        </w:tabs>
        <w:ind w:firstLine="5580"/>
        <w:jc w:val="center"/>
        <w:rPr>
          <w:rFonts w:eastAsia="Lucida Sans Unicode"/>
          <w:kern w:val="2"/>
          <w:sz w:val="28"/>
          <w:szCs w:val="28"/>
        </w:rPr>
      </w:pPr>
      <w:r>
        <w:rPr>
          <w:rFonts w:eastAsia="Lucida Sans Unicode"/>
          <w:kern w:val="2"/>
          <w:sz w:val="28"/>
          <w:szCs w:val="28"/>
        </w:rPr>
        <w:t>ПРИЛОЖЕНИЕ 3</w:t>
      </w:r>
    </w:p>
    <w:p>
      <w:pPr>
        <w:tabs>
          <w:tab w:val="left" w:pos="568"/>
        </w:tabs>
        <w:ind w:firstLine="5580"/>
        <w:jc w:val="center"/>
        <w:rPr>
          <w:rFonts w:eastAsia="Lucida Sans Unicode"/>
          <w:kern w:val="2"/>
          <w:sz w:val="28"/>
          <w:szCs w:val="28"/>
        </w:rPr>
      </w:pPr>
    </w:p>
    <w:p>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pPr>
        <w:tabs>
          <w:tab w:val="left" w:pos="568"/>
        </w:tabs>
        <w:ind w:firstLine="5580"/>
        <w:jc w:val="center"/>
        <w:rPr>
          <w:rFonts w:eastAsia="Lucida Sans Unicode"/>
          <w:kern w:val="2"/>
          <w:sz w:val="28"/>
          <w:szCs w:val="28"/>
        </w:rPr>
      </w:pPr>
      <w:r>
        <w:rPr>
          <w:rFonts w:eastAsia="Lucida Sans Unicode"/>
          <w:kern w:val="2"/>
          <w:sz w:val="28"/>
          <w:szCs w:val="28"/>
        </w:rPr>
        <w:t>от 15.12.2022 № 147</w:t>
      </w:r>
    </w:p>
    <w:p>
      <w:pPr>
        <w:jc w:val="center"/>
        <w:rPr>
          <w:b/>
        </w:rPr>
      </w:pPr>
    </w:p>
    <w:p>
      <w:pPr>
        <w:pStyle w:val="52"/>
        <w:widowControl/>
        <w:jc w:val="center"/>
        <w:outlineLvl w:val="0"/>
        <w:rPr>
          <w:rFonts w:ascii="Times New Roman" w:hAnsi="Times New Roman" w:cs="Times New Roman"/>
          <w:bCs w:val="0"/>
          <w:sz w:val="28"/>
          <w:szCs w:val="28"/>
        </w:rPr>
      </w:pPr>
      <w:r>
        <w:rPr>
          <w:rFonts w:ascii="Times New Roman" w:hAnsi="Times New Roman" w:cs="Times New Roman"/>
          <w:bCs w:val="0"/>
          <w:sz w:val="28"/>
          <w:szCs w:val="28"/>
        </w:rPr>
        <w:t xml:space="preserve">Источники финансирования дефицита </w:t>
      </w:r>
    </w:p>
    <w:p>
      <w:pPr>
        <w:jc w:val="center"/>
        <w:rPr>
          <w:b/>
          <w:sz w:val="28"/>
          <w:szCs w:val="28"/>
        </w:rPr>
      </w:pPr>
      <w:r>
        <w:rPr>
          <w:b/>
          <w:sz w:val="28"/>
          <w:szCs w:val="28"/>
        </w:rPr>
        <w:t>бюджета муниципального округа на 2023 год и на плановый период 2024 и 2025 годов</w:t>
      </w:r>
    </w:p>
    <w:p>
      <w:pPr>
        <w:tabs>
          <w:tab w:val="left" w:pos="9214"/>
        </w:tabs>
        <w:jc w:val="right"/>
      </w:pPr>
    </w:p>
    <w:p>
      <w:pPr>
        <w:tabs>
          <w:tab w:val="left" w:pos="9214"/>
        </w:tabs>
        <w:jc w:val="right"/>
      </w:pPr>
      <w:r>
        <w:t>(тыс. рублей)</w:t>
      </w:r>
    </w:p>
    <w:tbl>
      <w:tblPr>
        <w:tblStyle w:val="12"/>
        <w:tblW w:w="49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1"/>
        <w:gridCol w:w="1134"/>
        <w:gridCol w:w="127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blHeader/>
        </w:trPr>
        <w:tc>
          <w:tcPr>
            <w:tcW w:w="3110" w:type="pct"/>
            <w:shd w:val="clear" w:color="auto" w:fill="auto"/>
            <w:noWrap w:val="0"/>
            <w:tcMar>
              <w:left w:w="28" w:type="dxa"/>
              <w:right w:w="28" w:type="dxa"/>
            </w:tcMar>
            <w:vAlign w:val="center"/>
          </w:tcPr>
          <w:p>
            <w:pPr>
              <w:jc w:val="center"/>
              <w:rPr>
                <w:b/>
                <w:sz w:val="22"/>
                <w:szCs w:val="22"/>
              </w:rPr>
            </w:pPr>
            <w:r>
              <w:rPr>
                <w:b/>
                <w:sz w:val="22"/>
                <w:szCs w:val="22"/>
              </w:rPr>
              <w:t>Наименование</w:t>
            </w:r>
          </w:p>
        </w:tc>
        <w:tc>
          <w:tcPr>
            <w:tcW w:w="604" w:type="pct"/>
            <w:shd w:val="clear" w:color="auto" w:fill="auto"/>
            <w:noWrap w:val="0"/>
            <w:tcMar>
              <w:left w:w="28" w:type="dxa"/>
              <w:right w:w="28" w:type="dxa"/>
            </w:tcMar>
            <w:vAlign w:val="center"/>
          </w:tcPr>
          <w:p>
            <w:pPr>
              <w:jc w:val="center"/>
              <w:rPr>
                <w:b/>
                <w:bCs/>
                <w:sz w:val="22"/>
                <w:szCs w:val="22"/>
              </w:rPr>
            </w:pPr>
            <w:r>
              <w:rPr>
                <w:b/>
                <w:bCs/>
                <w:sz w:val="22"/>
                <w:szCs w:val="22"/>
              </w:rPr>
              <w:t>2023 год</w:t>
            </w:r>
          </w:p>
        </w:tc>
        <w:tc>
          <w:tcPr>
            <w:tcW w:w="679" w:type="pct"/>
            <w:shd w:val="clear" w:color="auto" w:fill="auto"/>
            <w:noWrap w:val="0"/>
            <w:vAlign w:val="center"/>
          </w:tcPr>
          <w:p>
            <w:pPr>
              <w:jc w:val="center"/>
              <w:rPr>
                <w:b/>
                <w:bCs/>
                <w:sz w:val="22"/>
                <w:szCs w:val="22"/>
              </w:rPr>
            </w:pPr>
            <w:r>
              <w:rPr>
                <w:b/>
                <w:bCs/>
                <w:sz w:val="22"/>
                <w:szCs w:val="22"/>
              </w:rPr>
              <w:t>2024 год</w:t>
            </w:r>
          </w:p>
        </w:tc>
        <w:tc>
          <w:tcPr>
            <w:tcW w:w="607" w:type="pct"/>
            <w:shd w:val="clear" w:color="auto" w:fill="auto"/>
            <w:noWrap w:val="0"/>
            <w:vAlign w:val="center"/>
          </w:tcPr>
          <w:p>
            <w:pPr>
              <w:jc w:val="center"/>
              <w:rPr>
                <w:b/>
                <w:bCs/>
                <w:sz w:val="22"/>
                <w:szCs w:val="22"/>
              </w:rPr>
            </w:pPr>
            <w:r>
              <w:rPr>
                <w:b/>
                <w:bCs/>
                <w:sz w:val="22"/>
                <w:szCs w:val="22"/>
              </w:rPr>
              <w:t>2025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blHeader/>
        </w:trPr>
        <w:tc>
          <w:tcPr>
            <w:tcW w:w="3110" w:type="pct"/>
            <w:shd w:val="clear" w:color="auto" w:fill="auto"/>
            <w:noWrap w:val="0"/>
            <w:tcMar>
              <w:left w:w="28" w:type="dxa"/>
              <w:right w:w="28" w:type="dxa"/>
            </w:tcMar>
            <w:vAlign w:val="center"/>
          </w:tcPr>
          <w:p>
            <w:pPr>
              <w:rPr>
                <w:sz w:val="22"/>
                <w:szCs w:val="22"/>
              </w:rPr>
            </w:pPr>
            <w:r>
              <w:rPr>
                <w:bCs/>
                <w:sz w:val="22"/>
                <w:szCs w:val="22"/>
              </w:rPr>
              <w:t>Разница между привлеченными и погашенными кредитами кредитных организаций в валюте Российской Федерации</w:t>
            </w:r>
          </w:p>
        </w:tc>
        <w:tc>
          <w:tcPr>
            <w:tcW w:w="604" w:type="pct"/>
            <w:shd w:val="clear" w:color="auto" w:fill="auto"/>
            <w:noWrap w:val="0"/>
            <w:tcMar>
              <w:left w:w="28" w:type="dxa"/>
              <w:right w:w="28" w:type="dxa"/>
            </w:tcMar>
            <w:vAlign w:val="center"/>
          </w:tcPr>
          <w:p>
            <w:pPr>
              <w:jc w:val="center"/>
              <w:rPr>
                <w:bCs/>
                <w:sz w:val="22"/>
                <w:szCs w:val="22"/>
              </w:rPr>
            </w:pPr>
            <w:r>
              <w:rPr>
                <w:bCs/>
                <w:sz w:val="22"/>
                <w:szCs w:val="22"/>
              </w:rPr>
              <w:t>30 000,00</w:t>
            </w:r>
          </w:p>
        </w:tc>
        <w:tc>
          <w:tcPr>
            <w:tcW w:w="679" w:type="pct"/>
            <w:shd w:val="clear" w:color="auto" w:fill="auto"/>
            <w:noWrap w:val="0"/>
            <w:vAlign w:val="center"/>
          </w:tcPr>
          <w:p>
            <w:pPr>
              <w:jc w:val="center"/>
              <w:rPr>
                <w:bCs/>
                <w:sz w:val="22"/>
                <w:szCs w:val="22"/>
              </w:rPr>
            </w:pPr>
            <w:r>
              <w:rPr>
                <w:bCs/>
                <w:sz w:val="22"/>
                <w:szCs w:val="22"/>
              </w:rPr>
              <w:t>- 30 000,00</w:t>
            </w:r>
          </w:p>
        </w:tc>
        <w:tc>
          <w:tcPr>
            <w:tcW w:w="607" w:type="pct"/>
            <w:shd w:val="clear" w:color="auto" w:fill="auto"/>
            <w:noWrap w:val="0"/>
            <w:vAlign w:val="center"/>
          </w:tcPr>
          <w:p>
            <w:pPr>
              <w:jc w:val="center"/>
              <w:rPr>
                <w:bCs/>
                <w:sz w:val="22"/>
                <w:szCs w:val="22"/>
              </w:rPr>
            </w:pPr>
            <w:r>
              <w:rPr>
                <w:bCs/>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blHeader/>
        </w:trPr>
        <w:tc>
          <w:tcPr>
            <w:tcW w:w="3110" w:type="pct"/>
            <w:shd w:val="clear" w:color="auto" w:fill="auto"/>
            <w:noWrap w:val="0"/>
            <w:tcMar>
              <w:left w:w="28" w:type="dxa"/>
              <w:right w:w="28" w:type="dxa"/>
            </w:tcMar>
            <w:vAlign w:val="center"/>
          </w:tcPr>
          <w:p>
            <w:pPr>
              <w:rPr>
                <w:sz w:val="22"/>
                <w:szCs w:val="22"/>
              </w:rPr>
            </w:pPr>
            <w:r>
              <w:rPr>
                <w:sz w:val="22"/>
                <w:szCs w:val="22"/>
              </w:rPr>
              <w:t>Изменение остатков средств на счетах по учету средств бюджета</w:t>
            </w:r>
          </w:p>
        </w:tc>
        <w:tc>
          <w:tcPr>
            <w:tcW w:w="604" w:type="pct"/>
            <w:shd w:val="clear" w:color="auto" w:fill="auto"/>
            <w:noWrap w:val="0"/>
            <w:tcMar>
              <w:left w:w="28" w:type="dxa"/>
              <w:right w:w="28" w:type="dxa"/>
            </w:tcMar>
            <w:vAlign w:val="center"/>
          </w:tcPr>
          <w:p>
            <w:pPr>
              <w:jc w:val="center"/>
              <w:rPr>
                <w:bCs/>
                <w:sz w:val="22"/>
                <w:szCs w:val="22"/>
              </w:rPr>
            </w:pPr>
            <w:r>
              <w:rPr>
                <w:bCs/>
                <w:sz w:val="22"/>
                <w:szCs w:val="22"/>
              </w:rPr>
              <w:t>20 000,00</w:t>
            </w:r>
          </w:p>
        </w:tc>
        <w:tc>
          <w:tcPr>
            <w:tcW w:w="679" w:type="pct"/>
            <w:shd w:val="clear" w:color="auto" w:fill="auto"/>
            <w:noWrap w:val="0"/>
            <w:vAlign w:val="center"/>
          </w:tcPr>
          <w:p>
            <w:pPr>
              <w:jc w:val="center"/>
              <w:rPr>
                <w:bCs/>
                <w:sz w:val="22"/>
                <w:szCs w:val="22"/>
              </w:rPr>
            </w:pPr>
            <w:r>
              <w:rPr>
                <w:bCs/>
                <w:sz w:val="22"/>
                <w:szCs w:val="22"/>
              </w:rPr>
              <w:t>30 000,00</w:t>
            </w:r>
          </w:p>
        </w:tc>
        <w:tc>
          <w:tcPr>
            <w:tcW w:w="607" w:type="pct"/>
            <w:shd w:val="clear" w:color="auto" w:fill="auto"/>
            <w:noWrap w:val="0"/>
            <w:vAlign w:val="center"/>
          </w:tcPr>
          <w:p>
            <w:pPr>
              <w:jc w:val="center"/>
              <w:rPr>
                <w:bCs/>
                <w:sz w:val="22"/>
                <w:szCs w:val="22"/>
              </w:rPr>
            </w:pPr>
            <w:r>
              <w:rPr>
                <w:bCs/>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blHeader/>
        </w:trPr>
        <w:tc>
          <w:tcPr>
            <w:tcW w:w="3110" w:type="pct"/>
            <w:shd w:val="clear" w:color="auto" w:fill="auto"/>
            <w:noWrap w:val="0"/>
            <w:tcMar>
              <w:left w:w="28" w:type="dxa"/>
              <w:right w:w="28" w:type="dxa"/>
            </w:tcMar>
            <w:vAlign w:val="center"/>
          </w:tcPr>
          <w:p>
            <w:pPr>
              <w:rPr>
                <w:sz w:val="22"/>
                <w:szCs w:val="22"/>
              </w:rPr>
            </w:pPr>
            <w:r>
              <w:rPr>
                <w:sz w:val="22"/>
                <w:szCs w:val="22"/>
              </w:rPr>
              <w:t>Иные источники внутреннего финансирования дефицита бюджета</w:t>
            </w:r>
          </w:p>
        </w:tc>
        <w:tc>
          <w:tcPr>
            <w:tcW w:w="604" w:type="pct"/>
            <w:shd w:val="clear" w:color="auto" w:fill="auto"/>
            <w:noWrap w:val="0"/>
            <w:tcMar>
              <w:left w:w="28" w:type="dxa"/>
              <w:right w:w="28" w:type="dxa"/>
            </w:tcMar>
            <w:vAlign w:val="center"/>
          </w:tcPr>
          <w:p>
            <w:pPr>
              <w:jc w:val="center"/>
              <w:rPr>
                <w:bCs/>
                <w:sz w:val="22"/>
                <w:szCs w:val="22"/>
              </w:rPr>
            </w:pPr>
            <w:r>
              <w:rPr>
                <w:bCs/>
                <w:sz w:val="22"/>
                <w:szCs w:val="22"/>
              </w:rPr>
              <w:t>0,00</w:t>
            </w:r>
          </w:p>
        </w:tc>
        <w:tc>
          <w:tcPr>
            <w:tcW w:w="679" w:type="pct"/>
            <w:shd w:val="clear" w:color="auto" w:fill="auto"/>
            <w:noWrap w:val="0"/>
            <w:vAlign w:val="center"/>
          </w:tcPr>
          <w:p>
            <w:pPr>
              <w:jc w:val="center"/>
              <w:rPr>
                <w:bCs/>
                <w:sz w:val="22"/>
                <w:szCs w:val="22"/>
              </w:rPr>
            </w:pPr>
            <w:r>
              <w:rPr>
                <w:bCs/>
                <w:sz w:val="22"/>
                <w:szCs w:val="22"/>
              </w:rPr>
              <w:t>0,00</w:t>
            </w:r>
          </w:p>
        </w:tc>
        <w:tc>
          <w:tcPr>
            <w:tcW w:w="607" w:type="pct"/>
            <w:shd w:val="clear" w:color="auto" w:fill="auto"/>
            <w:noWrap w:val="0"/>
            <w:vAlign w:val="center"/>
          </w:tcPr>
          <w:p>
            <w:pPr>
              <w:jc w:val="center"/>
              <w:rPr>
                <w:bCs/>
                <w:sz w:val="22"/>
                <w:szCs w:val="22"/>
              </w:rPr>
            </w:pPr>
            <w:r>
              <w:rPr>
                <w:bCs/>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blHeader/>
        </w:trPr>
        <w:tc>
          <w:tcPr>
            <w:tcW w:w="3110" w:type="pct"/>
            <w:shd w:val="clear" w:color="auto" w:fill="auto"/>
            <w:noWrap w:val="0"/>
            <w:tcMar>
              <w:left w:w="28" w:type="dxa"/>
              <w:right w:w="28" w:type="dxa"/>
            </w:tcMar>
            <w:vAlign w:val="center"/>
          </w:tcPr>
          <w:p>
            <w:pPr>
              <w:rPr>
                <w:sz w:val="22"/>
                <w:szCs w:val="22"/>
              </w:rPr>
            </w:pPr>
            <w:r>
              <w:rPr>
                <w:sz w:val="22"/>
                <w:szCs w:val="22"/>
              </w:rPr>
              <w:t>В том числе:</w:t>
            </w:r>
          </w:p>
        </w:tc>
        <w:tc>
          <w:tcPr>
            <w:tcW w:w="604" w:type="pct"/>
            <w:shd w:val="clear" w:color="auto" w:fill="auto"/>
            <w:noWrap w:val="0"/>
            <w:tcMar>
              <w:left w:w="28" w:type="dxa"/>
              <w:right w:w="28" w:type="dxa"/>
            </w:tcMar>
            <w:vAlign w:val="center"/>
          </w:tcPr>
          <w:p>
            <w:pPr>
              <w:jc w:val="center"/>
              <w:rPr>
                <w:bCs/>
                <w:sz w:val="22"/>
                <w:szCs w:val="22"/>
              </w:rPr>
            </w:pPr>
          </w:p>
        </w:tc>
        <w:tc>
          <w:tcPr>
            <w:tcW w:w="679" w:type="pct"/>
            <w:shd w:val="clear" w:color="auto" w:fill="auto"/>
            <w:noWrap w:val="0"/>
            <w:vAlign w:val="center"/>
          </w:tcPr>
          <w:p>
            <w:pPr>
              <w:jc w:val="center"/>
              <w:rPr>
                <w:bCs/>
                <w:sz w:val="22"/>
                <w:szCs w:val="22"/>
              </w:rPr>
            </w:pPr>
          </w:p>
        </w:tc>
        <w:tc>
          <w:tcPr>
            <w:tcW w:w="607" w:type="pct"/>
            <w:shd w:val="clear" w:color="auto" w:fill="auto"/>
            <w:noWrap w:val="0"/>
            <w:vAlign w:val="center"/>
          </w:tcPr>
          <w:p>
            <w:pPr>
              <w:jc w:val="center"/>
              <w:rPr>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blHeader/>
        </w:trPr>
        <w:tc>
          <w:tcPr>
            <w:tcW w:w="3110" w:type="pct"/>
            <w:shd w:val="clear" w:color="auto" w:fill="auto"/>
            <w:noWrap w:val="0"/>
            <w:tcMar>
              <w:left w:w="28" w:type="dxa"/>
              <w:right w:w="28" w:type="dxa"/>
            </w:tcMar>
            <w:vAlign w:val="center"/>
          </w:tcPr>
          <w:p>
            <w:pPr>
              <w:rPr>
                <w:sz w:val="22"/>
                <w:szCs w:val="22"/>
              </w:rPr>
            </w:pPr>
            <w:r>
              <w:rPr>
                <w:sz w:val="22"/>
                <w:szCs w:val="22"/>
              </w:rPr>
              <w:t>Разница между бюджетными кредитами, предоставленными внутри страны в валюте Российской Федерации</w:t>
            </w:r>
          </w:p>
        </w:tc>
        <w:tc>
          <w:tcPr>
            <w:tcW w:w="604" w:type="pct"/>
            <w:shd w:val="clear" w:color="auto" w:fill="auto"/>
            <w:noWrap w:val="0"/>
            <w:tcMar>
              <w:left w:w="28" w:type="dxa"/>
              <w:right w:w="28" w:type="dxa"/>
            </w:tcMar>
            <w:vAlign w:val="center"/>
          </w:tcPr>
          <w:p>
            <w:pPr>
              <w:jc w:val="center"/>
              <w:rPr>
                <w:bCs/>
                <w:sz w:val="22"/>
                <w:szCs w:val="22"/>
              </w:rPr>
            </w:pPr>
            <w:r>
              <w:rPr>
                <w:bCs/>
                <w:sz w:val="22"/>
                <w:szCs w:val="22"/>
              </w:rPr>
              <w:t>0,00</w:t>
            </w:r>
          </w:p>
        </w:tc>
        <w:tc>
          <w:tcPr>
            <w:tcW w:w="679" w:type="pct"/>
            <w:shd w:val="clear" w:color="auto" w:fill="auto"/>
            <w:noWrap w:val="0"/>
            <w:vAlign w:val="center"/>
          </w:tcPr>
          <w:p>
            <w:pPr>
              <w:jc w:val="center"/>
              <w:rPr>
                <w:bCs/>
                <w:sz w:val="22"/>
                <w:szCs w:val="22"/>
              </w:rPr>
            </w:pPr>
            <w:r>
              <w:rPr>
                <w:bCs/>
                <w:sz w:val="22"/>
                <w:szCs w:val="22"/>
              </w:rPr>
              <w:t>0,00</w:t>
            </w:r>
          </w:p>
        </w:tc>
        <w:tc>
          <w:tcPr>
            <w:tcW w:w="607" w:type="pct"/>
            <w:shd w:val="clear" w:color="auto" w:fill="auto"/>
            <w:noWrap w:val="0"/>
            <w:vAlign w:val="center"/>
          </w:tcPr>
          <w:p>
            <w:pPr>
              <w:jc w:val="center"/>
              <w:rPr>
                <w:bCs/>
                <w:sz w:val="22"/>
                <w:szCs w:val="22"/>
              </w:rPr>
            </w:pPr>
            <w:r>
              <w:rPr>
                <w:bCs/>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blHeader/>
        </w:trPr>
        <w:tc>
          <w:tcPr>
            <w:tcW w:w="3110" w:type="pct"/>
            <w:shd w:val="clear" w:color="auto" w:fill="auto"/>
            <w:noWrap w:val="0"/>
            <w:tcMar>
              <w:left w:w="28" w:type="dxa"/>
              <w:right w:w="28" w:type="dxa"/>
            </w:tcMar>
            <w:vAlign w:val="center"/>
          </w:tcPr>
          <w:p>
            <w:pPr>
              <w:jc w:val="center"/>
              <w:rPr>
                <w:b/>
                <w:sz w:val="22"/>
                <w:szCs w:val="22"/>
              </w:rPr>
            </w:pPr>
            <w:r>
              <w:rPr>
                <w:b/>
                <w:sz w:val="22"/>
                <w:szCs w:val="22"/>
              </w:rPr>
              <w:t>ВСЕГО источников финансирования дефицита бюджета</w:t>
            </w:r>
          </w:p>
        </w:tc>
        <w:tc>
          <w:tcPr>
            <w:tcW w:w="604" w:type="pct"/>
            <w:shd w:val="clear" w:color="auto" w:fill="auto"/>
            <w:noWrap w:val="0"/>
            <w:tcMar>
              <w:left w:w="28" w:type="dxa"/>
              <w:right w:w="28" w:type="dxa"/>
            </w:tcMar>
            <w:vAlign w:val="center"/>
          </w:tcPr>
          <w:p>
            <w:pPr>
              <w:jc w:val="center"/>
              <w:rPr>
                <w:b/>
                <w:bCs/>
                <w:sz w:val="22"/>
                <w:szCs w:val="22"/>
              </w:rPr>
            </w:pPr>
            <w:r>
              <w:rPr>
                <w:b/>
                <w:bCs/>
                <w:sz w:val="22"/>
                <w:szCs w:val="22"/>
              </w:rPr>
              <w:t>50 000,00</w:t>
            </w:r>
          </w:p>
        </w:tc>
        <w:tc>
          <w:tcPr>
            <w:tcW w:w="679" w:type="pct"/>
            <w:shd w:val="clear" w:color="auto" w:fill="auto"/>
            <w:noWrap w:val="0"/>
            <w:vAlign w:val="center"/>
          </w:tcPr>
          <w:p>
            <w:pPr>
              <w:jc w:val="center"/>
              <w:rPr>
                <w:b/>
                <w:bCs/>
                <w:sz w:val="22"/>
                <w:szCs w:val="22"/>
              </w:rPr>
            </w:pPr>
            <w:r>
              <w:rPr>
                <w:b/>
                <w:bCs/>
                <w:sz w:val="22"/>
                <w:szCs w:val="22"/>
              </w:rPr>
              <w:t>0,00</w:t>
            </w:r>
          </w:p>
        </w:tc>
        <w:tc>
          <w:tcPr>
            <w:tcW w:w="607" w:type="pct"/>
            <w:shd w:val="clear" w:color="auto" w:fill="auto"/>
            <w:noWrap w:val="0"/>
            <w:vAlign w:val="center"/>
          </w:tcPr>
          <w:p>
            <w:pPr>
              <w:jc w:val="center"/>
              <w:rPr>
                <w:b/>
                <w:bCs/>
                <w:sz w:val="22"/>
                <w:szCs w:val="22"/>
              </w:rPr>
            </w:pPr>
            <w:r>
              <w:rPr>
                <w:b/>
                <w:bCs/>
                <w:sz w:val="22"/>
                <w:szCs w:val="22"/>
              </w:rPr>
              <w:t>0,00</w:t>
            </w:r>
          </w:p>
        </w:tc>
      </w:tr>
    </w:tbl>
    <w:p>
      <w:pPr>
        <w:tabs>
          <w:tab w:val="left" w:pos="9214"/>
        </w:tabs>
        <w:jc w:val="right"/>
      </w:pPr>
    </w:p>
    <w:p>
      <w:pPr>
        <w:jc w:val="center"/>
        <w:rPr>
          <w:rFonts w:eastAsia="Lucida Sans Unicode"/>
          <w:kern w:val="2"/>
        </w:rPr>
      </w:pPr>
      <w:r>
        <w:rPr>
          <w:rFonts w:eastAsia="Lucida Sans Unicode"/>
          <w:kern w:val="2"/>
        </w:rPr>
        <w:t>______________________________</w:t>
      </w:r>
    </w:p>
    <w:p>
      <w:pPr>
        <w:tabs>
          <w:tab w:val="left" w:pos="568"/>
        </w:tabs>
        <w:ind w:firstLine="5580"/>
        <w:jc w:val="center"/>
        <w:rPr>
          <w:rFonts w:eastAsia="Lucida Sans Unicode"/>
          <w:kern w:val="2"/>
        </w:rPr>
        <w:sectPr>
          <w:pgSz w:w="11906" w:h="16838"/>
          <w:pgMar w:top="1134" w:right="850" w:bottom="1134" w:left="1701" w:header="709" w:footer="709" w:gutter="0"/>
          <w:pgNumType w:start="1"/>
          <w:cols w:space="708" w:num="1"/>
          <w:titlePg/>
          <w:docGrid w:linePitch="360" w:charSpace="0"/>
        </w:sectPr>
      </w:pPr>
    </w:p>
    <w:p>
      <w:pPr>
        <w:tabs>
          <w:tab w:val="left" w:pos="568"/>
        </w:tabs>
        <w:ind w:firstLine="5580"/>
        <w:jc w:val="center"/>
        <w:rPr>
          <w:rFonts w:eastAsia="Lucida Sans Unicode"/>
          <w:kern w:val="2"/>
          <w:sz w:val="28"/>
          <w:szCs w:val="28"/>
        </w:rPr>
      </w:pPr>
      <w:r>
        <w:rPr>
          <w:rFonts w:eastAsia="Lucida Sans Unicode"/>
          <w:kern w:val="2"/>
          <w:sz w:val="28"/>
          <w:szCs w:val="28"/>
        </w:rPr>
        <w:t>ПРИЛОЖЕНИЕ 4</w:t>
      </w:r>
    </w:p>
    <w:p>
      <w:pPr>
        <w:tabs>
          <w:tab w:val="left" w:pos="568"/>
        </w:tabs>
        <w:ind w:firstLine="5580"/>
        <w:jc w:val="center"/>
        <w:rPr>
          <w:rFonts w:eastAsia="Lucida Sans Unicode"/>
          <w:kern w:val="2"/>
          <w:sz w:val="28"/>
          <w:szCs w:val="28"/>
        </w:rPr>
      </w:pPr>
    </w:p>
    <w:p>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pPr>
        <w:tabs>
          <w:tab w:val="left" w:pos="568"/>
        </w:tabs>
        <w:ind w:firstLine="5580"/>
        <w:jc w:val="center"/>
        <w:rPr>
          <w:rFonts w:eastAsia="Lucida Sans Unicode"/>
          <w:kern w:val="2"/>
          <w:sz w:val="28"/>
          <w:szCs w:val="28"/>
        </w:rPr>
      </w:pPr>
      <w:r>
        <w:rPr>
          <w:rFonts w:eastAsia="Lucida Sans Unicode"/>
          <w:kern w:val="2"/>
          <w:sz w:val="28"/>
          <w:szCs w:val="28"/>
        </w:rPr>
        <w:t>от 15.12.2022 № 147</w:t>
      </w:r>
    </w:p>
    <w:p>
      <w:pPr>
        <w:tabs>
          <w:tab w:val="left" w:pos="568"/>
        </w:tabs>
        <w:ind w:firstLine="720"/>
        <w:jc w:val="center"/>
        <w:rPr>
          <w:rFonts w:eastAsia="Lucida Sans Unicode"/>
          <w:kern w:val="2"/>
          <w:sz w:val="28"/>
          <w:szCs w:val="28"/>
        </w:rPr>
      </w:pPr>
    </w:p>
    <w:p>
      <w:pPr>
        <w:jc w:val="center"/>
        <w:rPr>
          <w:b/>
        </w:rPr>
      </w:pPr>
      <w:r>
        <w:rPr>
          <w:b/>
        </w:rPr>
        <w:t xml:space="preserve">Распределение бюджетных ассигнований по целевым статьям </w:t>
      </w:r>
    </w:p>
    <w:p>
      <w:pPr>
        <w:jc w:val="center"/>
        <w:rPr>
          <w:b/>
        </w:rPr>
      </w:pPr>
      <w:r>
        <w:rPr>
          <w:b/>
        </w:rPr>
        <w:t xml:space="preserve">(муниципальным программам и непрограммным направлениям </w:t>
      </w:r>
    </w:p>
    <w:p>
      <w:pPr>
        <w:jc w:val="center"/>
        <w:rPr>
          <w:b/>
        </w:rPr>
      </w:pPr>
      <w:r>
        <w:rPr>
          <w:b/>
        </w:rPr>
        <w:t>деятельности), группам видов расходов классификации расходов бюджетов</w:t>
      </w:r>
    </w:p>
    <w:p>
      <w:pPr>
        <w:jc w:val="center"/>
        <w:rPr>
          <w:b/>
        </w:rPr>
      </w:pPr>
      <w:r>
        <w:rPr>
          <w:b/>
        </w:rPr>
        <w:t>на 2023 год и на плановый период 2024 и 2025 годов</w:t>
      </w:r>
    </w:p>
    <w:p>
      <w:pPr>
        <w:jc w:val="right"/>
      </w:pPr>
      <w:r>
        <w:t>(тыс. руб.)</w:t>
      </w:r>
    </w:p>
    <w:tbl>
      <w:tblPr>
        <w:tblStyle w:val="12"/>
        <w:tblW w:w="4971" w:type="pct"/>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1276"/>
        <w:gridCol w:w="709"/>
        <w:gridCol w:w="1134"/>
        <w:gridCol w:w="1145"/>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vMerge w:val="restart"/>
            <w:shd w:val="clear" w:color="auto" w:fill="auto"/>
            <w:noWrap w:val="0"/>
            <w:tcMar>
              <w:left w:w="28" w:type="dxa"/>
              <w:right w:w="28" w:type="dxa"/>
            </w:tcMar>
            <w:vAlign w:val="center"/>
          </w:tcPr>
          <w:p>
            <w:pPr>
              <w:jc w:val="center"/>
              <w:rPr>
                <w:b/>
                <w:bCs/>
                <w:sz w:val="20"/>
                <w:szCs w:val="20"/>
              </w:rPr>
            </w:pPr>
            <w:r>
              <w:rPr>
                <w:b/>
                <w:bCs/>
                <w:sz w:val="20"/>
                <w:szCs w:val="20"/>
              </w:rPr>
              <w:t>Наименование</w:t>
            </w:r>
          </w:p>
        </w:tc>
        <w:tc>
          <w:tcPr>
            <w:tcW w:w="1061" w:type="pct"/>
            <w:gridSpan w:val="2"/>
            <w:shd w:val="clear" w:color="auto" w:fill="auto"/>
            <w:noWrap w:val="0"/>
            <w:tcMar>
              <w:left w:w="28" w:type="dxa"/>
              <w:right w:w="28" w:type="dxa"/>
            </w:tcMar>
            <w:vAlign w:val="center"/>
          </w:tcPr>
          <w:p>
            <w:pPr>
              <w:autoSpaceDE/>
              <w:autoSpaceDN/>
              <w:jc w:val="center"/>
              <w:rPr>
                <w:b/>
                <w:bCs/>
                <w:sz w:val="20"/>
                <w:szCs w:val="20"/>
              </w:rPr>
            </w:pPr>
            <w:r>
              <w:rPr>
                <w:b/>
                <w:bCs/>
                <w:sz w:val="20"/>
                <w:szCs w:val="20"/>
              </w:rPr>
              <w:t>Код бюджетной</w:t>
            </w:r>
          </w:p>
          <w:p>
            <w:pPr>
              <w:autoSpaceDE/>
              <w:autoSpaceDN/>
              <w:jc w:val="center"/>
              <w:rPr>
                <w:b/>
                <w:bCs/>
                <w:sz w:val="20"/>
                <w:szCs w:val="20"/>
              </w:rPr>
            </w:pPr>
            <w:r>
              <w:rPr>
                <w:b/>
                <w:bCs/>
                <w:sz w:val="20"/>
                <w:szCs w:val="20"/>
              </w:rPr>
              <w:t>классификации</w:t>
            </w:r>
          </w:p>
        </w:tc>
        <w:tc>
          <w:tcPr>
            <w:tcW w:w="606" w:type="pct"/>
            <w:vMerge w:val="restart"/>
            <w:shd w:val="clear" w:color="auto" w:fill="auto"/>
            <w:noWrap w:val="0"/>
            <w:tcMar>
              <w:left w:w="28" w:type="dxa"/>
              <w:right w:w="28" w:type="dxa"/>
            </w:tcMar>
            <w:vAlign w:val="center"/>
          </w:tcPr>
          <w:p>
            <w:pPr>
              <w:jc w:val="center"/>
              <w:rPr>
                <w:b/>
                <w:bCs/>
                <w:sz w:val="20"/>
                <w:szCs w:val="20"/>
              </w:rPr>
            </w:pPr>
            <w:r>
              <w:rPr>
                <w:b/>
                <w:bCs/>
                <w:sz w:val="20"/>
                <w:szCs w:val="20"/>
              </w:rPr>
              <w:t>2023 год</w:t>
            </w:r>
          </w:p>
        </w:tc>
        <w:tc>
          <w:tcPr>
            <w:tcW w:w="612" w:type="pct"/>
            <w:vMerge w:val="restart"/>
            <w:noWrap w:val="0"/>
            <w:tcMar>
              <w:left w:w="28" w:type="dxa"/>
              <w:right w:w="28" w:type="dxa"/>
            </w:tcMar>
            <w:vAlign w:val="center"/>
          </w:tcPr>
          <w:p>
            <w:pPr>
              <w:jc w:val="center"/>
              <w:rPr>
                <w:b/>
                <w:bCs/>
                <w:sz w:val="20"/>
                <w:szCs w:val="20"/>
              </w:rPr>
            </w:pPr>
            <w:r>
              <w:rPr>
                <w:b/>
                <w:bCs/>
                <w:sz w:val="20"/>
                <w:szCs w:val="20"/>
              </w:rPr>
              <w:t>2024 год</w:t>
            </w:r>
          </w:p>
        </w:tc>
        <w:tc>
          <w:tcPr>
            <w:tcW w:w="600" w:type="pct"/>
            <w:vMerge w:val="restart"/>
            <w:noWrap w:val="0"/>
            <w:tcMar>
              <w:left w:w="28" w:type="dxa"/>
              <w:right w:w="28" w:type="dxa"/>
            </w:tcMar>
            <w:vAlign w:val="center"/>
          </w:tcPr>
          <w:p>
            <w:pPr>
              <w:jc w:val="center"/>
              <w:rPr>
                <w:b/>
                <w:bCs/>
                <w:sz w:val="20"/>
                <w:szCs w:val="20"/>
              </w:rPr>
            </w:pPr>
            <w:r>
              <w:rPr>
                <w:b/>
                <w:bCs/>
                <w:sz w:val="20"/>
                <w:szCs w:val="20"/>
              </w:rPr>
              <w:t>2025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vMerge w:val="continue"/>
            <w:shd w:val="clear" w:color="auto" w:fill="auto"/>
            <w:noWrap w:val="0"/>
            <w:tcMar>
              <w:left w:w="28" w:type="dxa"/>
              <w:right w:w="28" w:type="dxa"/>
            </w:tcMar>
            <w:vAlign w:val="center"/>
          </w:tcPr>
          <w:p>
            <w:pPr>
              <w:autoSpaceDE/>
              <w:autoSpaceDN/>
              <w:jc w:val="center"/>
              <w:rPr>
                <w:b/>
                <w:bCs/>
                <w:sz w:val="20"/>
                <w:szCs w:val="20"/>
              </w:rPr>
            </w:pPr>
          </w:p>
        </w:tc>
        <w:tc>
          <w:tcPr>
            <w:tcW w:w="682" w:type="pct"/>
            <w:shd w:val="clear" w:color="auto" w:fill="auto"/>
            <w:noWrap w:val="0"/>
            <w:tcMar>
              <w:left w:w="28" w:type="dxa"/>
              <w:right w:w="28" w:type="dxa"/>
            </w:tcMar>
            <w:vAlign w:val="center"/>
          </w:tcPr>
          <w:p>
            <w:pPr>
              <w:autoSpaceDE/>
              <w:autoSpaceDN/>
              <w:jc w:val="center"/>
              <w:rPr>
                <w:b/>
                <w:bCs/>
                <w:sz w:val="20"/>
                <w:szCs w:val="20"/>
              </w:rPr>
            </w:pPr>
            <w:r>
              <w:rPr>
                <w:b/>
                <w:bCs/>
                <w:sz w:val="20"/>
                <w:szCs w:val="20"/>
              </w:rPr>
              <w:t>Целевая статья расходов</w:t>
            </w:r>
          </w:p>
        </w:tc>
        <w:tc>
          <w:tcPr>
            <w:tcW w:w="379" w:type="pct"/>
            <w:shd w:val="clear" w:color="auto" w:fill="auto"/>
            <w:noWrap w:val="0"/>
            <w:tcMar>
              <w:left w:w="28" w:type="dxa"/>
              <w:right w:w="28" w:type="dxa"/>
            </w:tcMar>
            <w:vAlign w:val="center"/>
          </w:tcPr>
          <w:p>
            <w:pPr>
              <w:autoSpaceDE/>
              <w:autoSpaceDN/>
              <w:jc w:val="center"/>
              <w:rPr>
                <w:b/>
                <w:bCs/>
                <w:sz w:val="20"/>
                <w:szCs w:val="20"/>
              </w:rPr>
            </w:pPr>
            <w:r>
              <w:rPr>
                <w:b/>
                <w:bCs/>
                <w:sz w:val="20"/>
                <w:szCs w:val="20"/>
              </w:rPr>
              <w:t>Вид расходов</w:t>
            </w:r>
          </w:p>
        </w:tc>
        <w:tc>
          <w:tcPr>
            <w:tcW w:w="606" w:type="pct"/>
            <w:vMerge w:val="continue"/>
            <w:shd w:val="clear" w:color="auto" w:fill="auto"/>
            <w:noWrap w:val="0"/>
            <w:tcMar>
              <w:left w:w="28" w:type="dxa"/>
              <w:right w:w="28" w:type="dxa"/>
            </w:tcMar>
            <w:vAlign w:val="center"/>
          </w:tcPr>
          <w:p>
            <w:pPr>
              <w:autoSpaceDE/>
              <w:autoSpaceDN/>
              <w:jc w:val="center"/>
              <w:rPr>
                <w:b/>
                <w:bCs/>
                <w:sz w:val="20"/>
                <w:szCs w:val="20"/>
              </w:rPr>
            </w:pPr>
          </w:p>
        </w:tc>
        <w:tc>
          <w:tcPr>
            <w:tcW w:w="612" w:type="pct"/>
            <w:vMerge w:val="continue"/>
            <w:noWrap w:val="0"/>
            <w:tcMar>
              <w:left w:w="28" w:type="dxa"/>
              <w:right w:w="28" w:type="dxa"/>
            </w:tcMar>
            <w:vAlign w:val="top"/>
          </w:tcPr>
          <w:p>
            <w:pPr>
              <w:autoSpaceDE/>
              <w:autoSpaceDN/>
              <w:jc w:val="center"/>
              <w:rPr>
                <w:b/>
                <w:bCs/>
                <w:sz w:val="20"/>
                <w:szCs w:val="20"/>
              </w:rPr>
            </w:pPr>
          </w:p>
        </w:tc>
        <w:tc>
          <w:tcPr>
            <w:tcW w:w="600" w:type="pct"/>
            <w:vMerge w:val="continue"/>
            <w:noWrap w:val="0"/>
            <w:tcMar>
              <w:left w:w="28" w:type="dxa"/>
              <w:right w:w="28" w:type="dxa"/>
            </w:tcMar>
            <w:vAlign w:val="top"/>
          </w:tcPr>
          <w:p>
            <w:pPr>
              <w:autoSpaceDE/>
              <w:autoSpaceDN/>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1 327 554,71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1 332 639,90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1 331 270,40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«Развитие общего образования»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1 201 091,90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1 213 612,98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1 212 243,48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«Обеспечение условий развития дошкольного образования»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535 455,82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540 687,60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540 687,60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186 235,22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191 467,00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191 467,00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186 235,22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191 467,00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191 467,00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исполнение полномочий в сфере общего образования в муниципальных общеобразовательных организациях</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01.1.01.73070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333 402,80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333 402,80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333 402,80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01.1.01.73070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333 402,80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333 402,80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333 402,80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01.1.01.73110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12 556,80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12 556,80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12 556,80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01.1.01.73110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185,60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185,60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185,60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01.1.01.73110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12 371,20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12 371,20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12 371,20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01.1.01.73170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3 261,00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3 261,00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3 261,00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01.1.01.73170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3 261,00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3 261,00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3 261,00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«Обеспечение условий развития общеобразовательных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665 636,08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669 925,38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671 555,88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133 744,05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137 486,15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137 486,15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133 744,05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137 486,15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137 486,15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по организации подвоза обучающихся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01.1.02.45150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5 074,31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5 074,31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5 074,31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01.1.02.45150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5 074,31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5 074,31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5 074,31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по организации льготного питания обучающихся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01.1.02.45190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1 433,86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1 433,86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1 433,86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01.1.02.45190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1 433,86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1 433,86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1 433,86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01.1.02.53030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25 779,60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26 326,80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26 326,80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01.1.02.53030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25 779,60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26 326,80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26 326,80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исполнение полномочий в сфере общего образования в муниципальных общеобразовательных организациях</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01.1.02.73070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447 906,60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447 906,60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447 906,60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01.1.02.73070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447 906,60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447 906,60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447 906,60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01.1.02.73140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1 903,60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1 903,60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1 903,60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01.1.02.73140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1 903,60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1 903,60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1 903,60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01.1.02.73180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3 285,40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3 285,40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3 255,50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01.1.02.73180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3 285,40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3 285,40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3 255,50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01.1.02.L3040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35 009,42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35 009,42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36 286,72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01.1.02.L3040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35 009,42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35 009,42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36 286,72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01.1.02.S2490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11 499,24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11 499,24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11 882,34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01.1.02.S2490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11 499,24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11 499,24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11 882,34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Федеральный проект «Успех каждого ребенка»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01.1.E2.00000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01.1.E2.50980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01.1.E2.50980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«Развитие дополнительного образования и воспитания детей и молодежи»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51 591,53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44 760,19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44 760,19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26 227,11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33 357,30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33 357,30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26 227,11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33 357,30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33 357,30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26 227,11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33 357,30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33 357,30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«Организация отдыха и оздоровления детей»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11 203,22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11 402,89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11 402,89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8 371,50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8 571,17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8 571,17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8 371,50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8 571,17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8 571,17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по осуществлению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01.2.02.45170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964,02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964,02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01.2.02.45170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964,02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964,02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01.2.02.73320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1 867,70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1 867,70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1 867,70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01.2.02.73320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1 867,70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1 867,70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1 867,70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Федеральный проект «Успех каждого ребенка»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01.2.E2.00000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14 161,20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01.2.E2.00590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520,80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01.2.E2.00590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520,80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01.2.E2.00591</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12 791,27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01.2.E2.00591</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12 791,27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в рамках системы персонифицированного финансирования дополнительного образования детей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01.2.E2.49840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849,13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01.2.E2.49840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636,85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01.2.E2.49840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212,28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«Развитие системы оценки качества образования и обеспечение деятельности системы образования»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01.3.00.00000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36 894,79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38 520,76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38 520,76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«Развитие системы оценки качества образования обеспечение деятельности системы образования»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01.3.01.00000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36 894,79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38 520,76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38 520,76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01.3.01.00590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36 894,79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38 520,76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38 520,76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01.3.01.00590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33 896,09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35 522,06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35 522,06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01.3.01.00590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2 989,27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2 989,27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2 989,27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01.3.01.00590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9,43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9,43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«Организация и проведение мероприятий»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01.4.00.00000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106,33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106,33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«Организация и проведение мероприятий с воспитанниками, обучающимися и молодежью»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01.4.01.00000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106,33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106,33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01.4.01.00590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106,33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106,33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01.4.01.00590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106,33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106,33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«Ресурсное обеспечение сферы образования»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01.5.00.00000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27 581,89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25 049,99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25 049,99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01.5.01.00000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27 581,89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25 049,99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25 049,99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01.5.01.00590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10 000,00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01.5.01.00590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10 000,00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реализацию проектов школьного инициативного бюджетирования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01.5.01.43950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01.5.01.43950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капитальный ремонт образовательных организаций, реализующих общеобразовательные программы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01.5.01.S2180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17 081,89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14 549,99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14 549,99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01.5.01.S2180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17 081,89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14 549,99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14 549,99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«Обеспечение реализации муниципальной программы»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01.6.00.00000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10 288,27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10 589,65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10 589,65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01.6.01.00000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10 288,27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10 589,65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10 589,65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01.6.01.00190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6 327,77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6 629,15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6 629,15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01.6.01.00190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6 284,21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6 585,59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6 585,59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01.6.01.00190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43,56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43,56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01.6.01.73010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1 687,00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1 687,00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01.6.01.73010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1 658,50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1 658,50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1 658,50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01.6.01.73010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01.6.01.73950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2 273,50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2 273,50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2 273,50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01.6.01.73950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2 217,60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2 217,60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2 217,60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01.6.01.73950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55,90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55,90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9 627,95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9 565,95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9 565,95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«Семья»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1 964,66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1 964,66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1 964,66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«Проведение мероприятий, направленных на пропаганду семейного образа жизни»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332,13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332,13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69,92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69,92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69,92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69,92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в области социальной политики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02.1.01.45280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123,21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123,21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02.1.01.45280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123,21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123,21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Поддержка социально ориентированных некоммерческих организаций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02.1.01.49910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139,00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139,00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02.1.01.49910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139,00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139,00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«Организация и проведение мероприятий, направленных на поддержку семей с несовершеннолетними детьми»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1 097,00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1 097,00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в области социальной политики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02.1.02.45280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1 097,00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1 097,00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02.1.02.45280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1 097,00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1 097,00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«Предоставление мер социальной поддержки с учетом прав отдельных категорий граждан»</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02.1.03.00000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377,60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377,60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377,60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ежемесячной выплаты семьям, имеющим пятерых и более детей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02.1.03.40140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216,00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216,00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02.1.03.40140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216,00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216,00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02.1.03.74500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161,60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161,60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02.1.03.74500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161,60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161,60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02.1.04.00000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157,93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157,93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по организации общественных работ</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02.1.04.48200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157,93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157,93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02.1.04.48200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157,93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157,93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«Старшее поколение»</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7 224,39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7 224,39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7 224,39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6 573,89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6 573,89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6 573,89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48,17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48,17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48,17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48,17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Ежемесячная денежная выплата гражданам, имеющим звание «Почетный гражданин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02.2.01.40920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02.2.01.40920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02.2.01.40930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594,00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594,00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02.2.01.40930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594,00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594,00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Ежемесячная денежная выплата гражданам, имеющим звание «Заслуженный работник»</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02.2.01.40940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02.2.01.40940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Денежная выплата гражданам, имеющим звание «Почетный гражданин города Богородска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02.2.01.40950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02.2.01.40950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в области социальной политики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02.2.01.45280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35,64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02.2.01.45280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35,64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Ежемесячная доплата к пенсиям лицам, замещавшим муниципальные должности и должности муниципальной службы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02.2.01.49980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5 644,08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5 644,08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5 644,08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02.2.01.49980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5 644,08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5 644,08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5 644,08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«Оказание финансовой поддержки социально ориентированным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650,50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650,50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Поддержка социально ориентированных некоммерческих организаций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02.2.02.49910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650,50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650,50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02.2.02.49910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650,50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650,50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«Ветераны боевых действий»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02.3.00.00000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210,50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148,50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02.3.01.00000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210,50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148,50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Поддержка социально ориентированных некоммерческих организаций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02.3.01.49910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210,50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148,50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02.3.01.49910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210,50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148,50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«Патриотическое воспитание граждан»</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02.4.00.00000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26,25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26,25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««Послужить для отчизны». Социально-патриотические акции для призывников»</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02.4.01.00000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11,25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11,25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проведение мероприятий для детей и молодежи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02.4.01.45160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11,25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11,25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02.4.01.45160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11,25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11,25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02.4.02.00000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проведение мероприятий для детей и молодежи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02.4.02.45160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02.4.02.45160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«Формирование доступной для инвалидов среды жизнедеятельности»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02.5.00.00000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202,15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202,15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«Адаптация учреждений спорта, культуры, образования»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02.5.01.00000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202,15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202,15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02.5.01.00590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202,15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202,15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02.5.01.00590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202,15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202,15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63 537,89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52 952,30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54 953,20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«Обеспечение жильем молодых семей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1 054,80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897,90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«Социальные выплаты (субсидии) молодым семьям на приобретение (строительство) жилья»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03.1.01.00000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1 006,80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849,90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03.1.01.L4970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1 006,80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849,90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03.1.01.L4970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1 006,80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849,90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«Компенсация процентной ставки по кредитам по программе жилищного кредитования»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03.1.02.00000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по осуществлению социальных выплат молодым семьям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03.1.02.44600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03.1.02.44600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03.2.00.00000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12 748,09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03.2.02.00000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12 748,09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03.2.02.44440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12 748,09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03.2.02.44440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400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12 748,09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«Переселение граждан из аварийного жилищного фонда на территории Богородского муниципального округа Нижегородской области , в том числе с учетом необходимости развития малоэтажного жилищного строительства»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03.3.00.00000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2 284,40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«Переселение граждан из аварийного жилищного фонда»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03.3.01.00000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2 284,40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на снос расселенных многоквартирных жилых домов в муниципальных образованиях Нижегородской области, признанных аварийными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03.3.01.S2120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2 284,40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03.3.01.S2120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2 284,40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03.4.00.00000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49 735,00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49 770,00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53 987,10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«Обеспечение жильем отдельных категорий граждан»</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03.4.01.00000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49 735,00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49 770,00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53 987,10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жильем отдельных категорий граждан, установленных Федеральным законом от 24 ноября 1995 года №181-ФЗ «О социальной защите инвалидов»</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03.4.01.51760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4 217,10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03.4.01.51760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4 217,10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03.4.01.R0820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49 735,00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49 770,00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49 770,00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03.4.01.R0820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400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49 735,00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49 770,00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49 770,00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169 997,99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160 725,00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160 510,70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«Библиотечное обслуживание населения»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27 305,37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27 305,37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27 305,37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04.1.01.00000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27 305,37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27 305,37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27 305,37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04.1.01.00590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27 305,37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27 305,37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27 305,37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04.1.01.00590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27 305,37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27 305,37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27 305,37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«Организация досуга и предоставление услуг учреждениями культуры»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86 750,78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76 650,78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76 436,48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72 112,61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72 112,61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72 112,61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72 112,61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72 112,61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72 112,61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72 112,61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72 112,61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72 112,61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«Организация и проведение государственных праздников и общественно значимых мероприятий»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12 487,54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2 387,54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2 387,54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2 387,54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2 387,54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2 387,54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в сфере культуры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04.2.02.45220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10 100,00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04.2.02.45220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10 100,00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«Сохранение и развитие материально-технической базы учреждений культуры»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04.2.03.00000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1 940,43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1 940,43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04.2.03.00590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04.2.03.00590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развития и укрепления материально-технической базы муниципальных домов культуры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04.2.03.L4670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940,43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940,43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04.2.03.L4670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940,43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940,43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Федеральный проект «Культурная среда»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04.2.A1.00000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210,20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210,20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поддержку отрасли культуры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04.2.A1.55190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210,20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210,20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04.2.A1.55190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210,20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210,20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«Музейное обслуживание населения»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04.3.00.00000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3 429,76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3 429,76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3 429,76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04.3.01.00000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3 429,76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3 429,76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3 429,76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04.3.01.00590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3 429,76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3 429,76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3 429,76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04.3.01.00590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3 429,76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3 429,76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3 429,76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«Предоставление дополнительного образования»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04.4.00.00000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44 529,75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44 990,54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44 990,54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04.4.01.00000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44 529,75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44 990,54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44 990,54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04.4.01.00590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44 529,75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44 990,54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44 990,54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04.4.01.00590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44 529,75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44 990,54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44 990,54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«Реализация мероприятий, направленных на обеспечение деятельности подведомственных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04.5.00.00000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5 116,50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5 345,28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5 345,28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04.5.01.00000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5 116,50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5 345,28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5 345,28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04.5.01.00590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5 116,50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5 345,28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5 345,28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04.5.01.00590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4 769,66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4 998,44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4 998,44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04.5.01.00590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346,84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346,84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346,84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«Обеспечение реализации муниципальной программы»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04.6.00.00000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2 865,83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3 003,27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04.6.01.00000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2 865,83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3 003,27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04.6.01.00190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2 865,83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3 003,27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04.6.01.00190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2 865,83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3 003,27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108 246,70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109 605,56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109 605,56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106 725,42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108 011,30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108 011,30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«Организация проведения физкультурно-оздоровительных и спортивных мероприятий»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606,88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606,88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в области спорта и физической культуры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05.1.01.45270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606,88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606,88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05.1.01.45270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05.1.01.45270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556,88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556,88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556,88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3 883,78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3 883,78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3 883,78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в области спорта и физической культуры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05.1.02.45270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483,78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483,78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483,78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05.1.02.45270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153,80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153,80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05.1.02.45270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329,98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329,98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329,98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Поддержка некоммерческих организаций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05.1.02.49920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05.1.02.49920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05.1.03.00000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94 648,76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103 520,64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103 520,64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05.1.03.00590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94 648,76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103 520,64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103 520,64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05.1.03.00590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4 545,56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4 763,33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4 763,33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05.1.03.00590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1 077,03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1 077,03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1 077,03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05.1.03.00590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88 828,17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97 482,28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97 482,28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05.1.03.00590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198,00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198,00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«Сохранение и развитие материально-технической базы подведомственных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05.1.04.00000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7 586,00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05.1.04.00590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7 586,00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05.1.04.00590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7 586,00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«Обеспечение реализации муниципальной программы»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05.2.00.00000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1 521,28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1 594,26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05.2.01.00000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1 521,28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1 594,26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05.2.01.00190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1 521,28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1 594,26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05.2.01.00190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1 521,28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1 594,26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238 975,79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135 037,18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135 343,88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120 742,27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127 031,77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127 338,47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«Развитие растениеводства»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23 994,10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25 703,30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26 157,50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стимулирование увеличения производства картофеля и овощей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06.1.01.R0140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10 297,10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10 297,10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10 578,40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06.1.01.R0140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10 297,10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10 297,10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10 578,40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возмещение производителям зерновых культур части затрат на производство и реализацию зерновых культур</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06.1.01.R3580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3 367,90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06.1.01.R3580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3 367,90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возмещение производителям зерновых культур части затрат на производство и реализацию зерновых культур</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06.1.01.R3680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2 925,60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06.1.01.R3680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2 925,60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06.1.01.R5020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4 231,40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5 498,30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5 498,30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06.1.01.R5020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4 231,40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5 498,30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5 498,30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поддержку сельскохозяйственного производства по отдельным подотраслям растениеводства и животноводства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06.1.01.R5080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6 540,00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6 540,00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6 621,80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06.1.01.R5080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6 540,00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6 540,00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6 621,80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«Развитие животноводства»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82 544,00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84 711,90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86 227,30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06.1.02.R5020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50 980,40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50 980,40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51 859,00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06.1.02.R5020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50 980,40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50 980,40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51 859,00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поддержку сельскохозяйственного производства по отдельным подотраслям растениеводства и животноводства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06.1.02.R5080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31 563,60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33 731,50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34 368,30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06.1.02.R5080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31 563,60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33 731,50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34 368,30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06.1.03.00000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82,90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возмещение части затрат на уплату процентов по инвестиционным кредитам (займам) в агропромышленном комплексе</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06.1.03.R4330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82,90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06.1.03.R4330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82,90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«Развитие малых и средних форм хозяйствования»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06.1.04.00000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06.1.04.49810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06.1.04.49810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«Муниципальный контроль и мониторинг использования земель сельскохозяйственного назначения»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06.1.05.00000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36,06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36,06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в области сельского хозяйства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06.1.05.45430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36,06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36,06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06.1.05.45430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36,06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36,06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«Управление рисками в отраслях сельскохозяйственного производства»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06.1.06.00000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820,90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820,90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820,90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06.1.06.73310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536,20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536,20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536,20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06.1.06.73310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536,20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536,20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536,20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06.1.06.73400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284,70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284,70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06.1.06.73400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284,70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284,70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«Кадровое обеспечение АПК Богородского округа»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06.1.07.00000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363,41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363,41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в области сельского хозяйства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06.1.07.45430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363,41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363,41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06.1.07.45430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11,81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11,81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06.1.07.45430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351,60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351,60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«Техническое переоснащение агропромышленного комплекса»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06.1.08.00000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11 900,90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14 396,20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12 733,30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возмещение части затрат на приобретение оборудования и техники за счет средств областного бюджета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06.1.08.73220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11 900,90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14 396,20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12 733,30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06.1.08.73220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11 900,90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14 396,20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12 733,30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«Устойчивое развитие сельских территорий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06.2.00.00000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108 769,83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06.2.01.00000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107 599,00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реализацию мероприятий в рамках адресной инвестиционной программы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06.2.01.S2450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107 599,00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06.2.01.S2450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400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107 599,00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«Строительство жилья в сельской местности»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06.2.02.00000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1 170,83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06.2.02.L5760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1 170,83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06.2.02.L5760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400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1 170,83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«Обеспечение реализации муниципальной программы»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06.3.00.00000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9 463,69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8 005,41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8 005,41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06.3.01.00000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9 463,69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8 005,41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8 005,41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06.3.01.00190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883,79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925,51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925,51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06.3.01.00190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871,08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912,80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06.3.01.00190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12,71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12,71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осуществление государственных полномочий по поддержке сельскохозяйственного производства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06.3.01.73910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8 579,90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7 079,90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7 079,90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06.3.01.73910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6 409,10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6 409,10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6 409,10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06.3.01.73910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2 170,80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670,80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670,80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85 028,45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47 334,70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52 869,60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68 677,11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30 266,14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35 801,04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07.1.04.00000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52 865,64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13 849,19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20 509,09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Резервный фонд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07.1.04.41000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52 865,64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13 849,19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20 509,09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07.1.04.41000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52 865,64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13 849,19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20 509,09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«Организация исполнения бюджета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07.1.05.00000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1 755,64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1 755,64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1 755,64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в области информационных технологий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07.1.05.45130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1 755,64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1 755,64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1 755,64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07.1.05.45130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1 755,64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1 755,64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1 755,64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07.1.06.00000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12 921,58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13 536,31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13 536,31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07.1.06.00590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12 921,58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13 536,31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13 536,31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07.1.06.00590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12 815,08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13 429,81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13 429,81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07.1.06.00590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«Своевременное исполнение долговых обязательств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07.1.08.00000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1 134,25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1 125,00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Процентные платежи по муниципальному долгу</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07.1.08.47000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1 134,25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1 125,00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Обслуживание государственного (муниципального) долга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07.1.08.47000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700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1 134,25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1 125,00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«Обеспечение реализации муниципальной программы»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07.3.00.00000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16 351,34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17 068,56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17 068,56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07.3.01.00000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16 351,34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17 068,56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17 068,56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07.3.01.00190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16 351,34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17 068,56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17 068,56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07.3.01.00190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15 785,11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16 542,33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16 542,33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07.3.01.00190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566,23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526,23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23 775,63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23 502,34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20 940,73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10 233,65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9 746,05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7 184,44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«Проведение межевания земельных участков и рыночной оценки земельных участков»</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08.1.02.00000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1 692,60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692,60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по землеустройству и землепользованию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08.1.02.43000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1 692,60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692,60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08.1.02.43000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1 692,60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692,60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«Проведение инвентаризации и независимой оценки муниципального имущества»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08.1.03.00000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677,16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677,16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по оценке недвижимости, признание прав и регулирование отношений по муниципальной собственности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08.1.03.45020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677,16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677,16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08.1.03.45020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677,16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677,16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«Содержание муниципального имущества»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08.1.04.00000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7 864,23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8 376,29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5 814,68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08.1.04.44400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6 688,00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7 200,06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4 638,45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08.1.04.44400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08.1.04.44400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400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5 688,00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6 200,06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3 638,45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по охране и содержанию муниципального имущества (нежилого фонда)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08.1.04.46600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69,51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69,51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08.1.04.46600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69,51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69,51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в области прочих мероприятий коммунального хозяйства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08.1.04.49700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1 106,72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1 106,72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08.1.04.49700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1 106,72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1 106,72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«Сохранение объектов культурного наследия, находящихся в муниципальной собственности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08.2.00.00000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jc w:val="center"/>
              <w:rPr>
                <w:color w:val="000000"/>
                <w:sz w:val="20"/>
                <w:szCs w:val="20"/>
              </w:rPr>
            </w:pPr>
            <w:r>
              <w:rPr>
                <w:color w:val="000000"/>
                <w:sz w:val="20"/>
                <w:szCs w:val="20"/>
              </w:rPr>
              <w:t>400,00</w:t>
            </w:r>
          </w:p>
        </w:tc>
        <w:tc>
          <w:tcPr>
            <w:tcW w:w="612" w:type="pct"/>
            <w:shd w:val="clear" w:color="auto" w:fill="auto"/>
            <w:noWrap/>
            <w:tcMar>
              <w:left w:w="28" w:type="dxa"/>
              <w:right w:w="28" w:type="dxa"/>
            </w:tcMar>
            <w:vAlign w:val="bottom"/>
          </w:tcPr>
          <w:p>
            <w:pPr>
              <w:autoSpaceDE/>
              <w:autoSpaceDN/>
              <w:jc w:val="center"/>
              <w:rPr>
                <w:color w:val="000000"/>
                <w:sz w:val="20"/>
                <w:szCs w:val="20"/>
              </w:rPr>
            </w:pPr>
          </w:p>
        </w:tc>
        <w:tc>
          <w:tcPr>
            <w:tcW w:w="600" w:type="pct"/>
            <w:shd w:val="clear" w:color="auto" w:fill="auto"/>
            <w:noWrap/>
            <w:tcMar>
              <w:left w:w="28" w:type="dxa"/>
              <w:right w:w="28" w:type="dxa"/>
            </w:tcMar>
            <w:vAlign w:val="bottom"/>
          </w:tcPr>
          <w:p>
            <w:pPr>
              <w:autoSpaceDE/>
              <w:autoSpaceDN/>
              <w:jc w:val="center"/>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«Разработка проектной документации и проведение ремонта объектов культурного наследия, являющихся муниципальной собственностью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08.2.03.00000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jc w:val="center"/>
              <w:rPr>
                <w:color w:val="000000"/>
                <w:sz w:val="20"/>
                <w:szCs w:val="20"/>
              </w:rPr>
            </w:pPr>
            <w:r>
              <w:rPr>
                <w:color w:val="000000"/>
                <w:sz w:val="20"/>
                <w:szCs w:val="20"/>
              </w:rPr>
              <w:t>400,00</w:t>
            </w:r>
          </w:p>
        </w:tc>
        <w:tc>
          <w:tcPr>
            <w:tcW w:w="612" w:type="pct"/>
            <w:shd w:val="clear" w:color="auto" w:fill="auto"/>
            <w:noWrap/>
            <w:tcMar>
              <w:left w:w="28" w:type="dxa"/>
              <w:right w:w="28" w:type="dxa"/>
            </w:tcMar>
            <w:vAlign w:val="bottom"/>
          </w:tcPr>
          <w:p>
            <w:pPr>
              <w:autoSpaceDE/>
              <w:autoSpaceDN/>
              <w:jc w:val="center"/>
              <w:rPr>
                <w:color w:val="000000"/>
                <w:sz w:val="20"/>
                <w:szCs w:val="20"/>
              </w:rPr>
            </w:pPr>
          </w:p>
        </w:tc>
        <w:tc>
          <w:tcPr>
            <w:tcW w:w="600" w:type="pct"/>
            <w:shd w:val="clear" w:color="auto" w:fill="auto"/>
            <w:noWrap/>
            <w:tcMar>
              <w:left w:w="28" w:type="dxa"/>
              <w:right w:w="28" w:type="dxa"/>
            </w:tcMar>
            <w:vAlign w:val="bottom"/>
          </w:tcPr>
          <w:p>
            <w:pPr>
              <w:autoSpaceDE/>
              <w:autoSpaceDN/>
              <w:jc w:val="center"/>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по охране и содержанию муниципального имущества (нежилого фонда)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08.2.03.46600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jc w:val="center"/>
              <w:rPr>
                <w:color w:val="000000"/>
                <w:sz w:val="20"/>
                <w:szCs w:val="20"/>
              </w:rPr>
            </w:pPr>
            <w:r>
              <w:rPr>
                <w:color w:val="000000"/>
                <w:sz w:val="20"/>
                <w:szCs w:val="20"/>
              </w:rPr>
              <w:t>400,00</w:t>
            </w:r>
          </w:p>
        </w:tc>
        <w:tc>
          <w:tcPr>
            <w:tcW w:w="612" w:type="pct"/>
            <w:shd w:val="clear" w:color="auto" w:fill="auto"/>
            <w:noWrap/>
            <w:tcMar>
              <w:left w:w="28" w:type="dxa"/>
              <w:right w:w="28" w:type="dxa"/>
            </w:tcMar>
            <w:vAlign w:val="bottom"/>
          </w:tcPr>
          <w:p>
            <w:pPr>
              <w:autoSpaceDE/>
              <w:autoSpaceDN/>
              <w:jc w:val="center"/>
              <w:rPr>
                <w:color w:val="000000"/>
                <w:sz w:val="20"/>
                <w:szCs w:val="20"/>
              </w:rPr>
            </w:pPr>
          </w:p>
        </w:tc>
        <w:tc>
          <w:tcPr>
            <w:tcW w:w="600" w:type="pct"/>
            <w:shd w:val="clear" w:color="auto" w:fill="auto"/>
            <w:noWrap/>
            <w:tcMar>
              <w:left w:w="28" w:type="dxa"/>
              <w:right w:w="28" w:type="dxa"/>
            </w:tcMar>
            <w:vAlign w:val="bottom"/>
          </w:tcPr>
          <w:p>
            <w:pPr>
              <w:autoSpaceDE/>
              <w:autoSpaceDN/>
              <w:jc w:val="center"/>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08.2.03.46600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400,00</w:t>
            </w:r>
          </w:p>
        </w:tc>
        <w:tc>
          <w:tcPr>
            <w:tcW w:w="612" w:type="pct"/>
            <w:shd w:val="clear" w:color="auto" w:fill="auto"/>
            <w:noWrap/>
            <w:tcMar>
              <w:left w:w="28" w:type="dxa"/>
              <w:right w:w="28" w:type="dxa"/>
            </w:tcMar>
            <w:vAlign w:val="bottom"/>
          </w:tcPr>
          <w:p>
            <w:pPr>
              <w:autoSpaceDE/>
              <w:autoSpaceDN/>
              <w:jc w:val="center"/>
              <w:rPr>
                <w:color w:val="000000"/>
                <w:sz w:val="20"/>
                <w:szCs w:val="20"/>
              </w:rPr>
            </w:pPr>
          </w:p>
        </w:tc>
        <w:tc>
          <w:tcPr>
            <w:tcW w:w="600" w:type="pct"/>
            <w:shd w:val="clear" w:color="auto" w:fill="auto"/>
            <w:noWrap/>
            <w:tcMar>
              <w:left w:w="28" w:type="dxa"/>
              <w:right w:w="28" w:type="dxa"/>
            </w:tcMar>
            <w:vAlign w:val="bottom"/>
          </w:tcPr>
          <w:p>
            <w:pPr>
              <w:autoSpaceDE/>
              <w:autoSpaceDN/>
              <w:jc w:val="center"/>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«Обеспечение реализации муниципальной программы»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08.3.00.00000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13 141,64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13 756,29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13 756,29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08.3.01.00000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13 141,64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13 756,29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13 756,29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08.3.01.00190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13 141,64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13 756,29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13 756,29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08.3.01.00190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12 813,19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13 427,84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13 427,84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08.3.01.00190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328,45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328,45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328,45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09.0.00.00000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904,90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904,90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«Развитие предпринимательства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09.1.00.00000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904,90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904,90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09.1.10.00000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364,90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364,90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Поддержка некоммерческих организаций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09.1.10.49920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364,90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364,90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09.1.10.49920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364,90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364,90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«Консультационная поддержка субъектов малого и среднего предпринимательства»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09.1.11.00000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540,00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540,00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Поддержка некоммерческих организаций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09.1.11.49920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540,00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540,00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09.1.11.49920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540,00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540,00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61 023,93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53 929,41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57 472,41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59 180,63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52 086,11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55 629,11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«Выполнение работ по ремонту автомобильных дорог»</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10.1.01.00000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50 871,03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52 086,11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55 629,11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10.1.01.00590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16 075,53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16 551,91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16 551,91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10.1.01.00590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12 948,03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13 424,41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13 424,41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10.1.01.00590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3 127,50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3 127,50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3 127,50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10.1.01.44200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34 795,50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35 534,20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39 077,20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10.1.01.44200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34 795,50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35 534,20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39 077,20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«Строительство автомобильных дорог»</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10.1.02.00000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8 309,60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на строительство объектов скоростного внеуличного транспорта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10.1.02.S2200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8 309,60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10.1.02.S2200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400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8 309,60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«Повышение безопасности дорожного движения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10.2.00.00000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1 843,30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1 843,30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1 843,30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«Совершенствование системы управления обеспечением безопасности дорожного движения»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10.2.01.00000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проведение мероприятий для детей и молодежи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10.2.01.45160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10.2.01.45160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«Повышение уровня технического обеспечения мероприятий по безопасности дорожного движения»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10.2.02.00000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1 693,30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1 693,30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1 693,30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Установка и содержание элементов обустройства автомобильных дорог</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10.2.02.44300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1 693,30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1 693,30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1 693,30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10.2.02.44300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1 693,30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1 693,30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1 693,30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68 523,61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55 594,91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«Развитие коммунальной инфраструктуры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65 157,90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53 029,20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«Строительство, капитальный ремонт, ремонт и реконструкция объектов водоотведения»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11.1.02.00000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11 000,00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11.1.02.44800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11 000,00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11.1.02.44800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400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11 000,00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«Капитальный ремонт, реконструкция объектов теплоснабжения»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11.1.03.00000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8 469,40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Субсидии на возмещение затрат, связанных с производством и (или) реализацией услуг тепло-, водоснабжения и водоотведения потребителям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11.1.03.49820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8 469,40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11.1.03.49820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8 469,40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«Ремонт и восстановление не централизованных источников водоснабжения»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11.1.04.00000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Прочие мероприятия по благоустройству</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11.1.04.43500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11.1.04.43500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11.1.06.00000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45 188,50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2 529,20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погашение задолженности ресурсоснабжающих организаций по заключенным мировым соглашениям и соглашениям о реструктуризации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11.1.06.74230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45 188,50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2 529,20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11.1.06.74230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45 188,50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2 529,20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«Капитальный ремонт общего имущества в многоквартирных домах»</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11.2.00.00000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2 565,71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2 565,71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2 565,71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11.2.01.00000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2 565,71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2 565,71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2 565,71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Взнос на обеспечение проведения капитального ремонта общего имущества в многоквартирных домах</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11.2.01.48000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2 565,71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2 565,71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2 565,71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11.2.01.48000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2 565,71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2 565,71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2 565,71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«Экология»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11.3.00.00000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Федеральный проект «Оздоровление Волги»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11.3.G6.00000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реализацию мероприятий по сокращению доли загрязненных сточных вод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11.3.G6.50130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11.3.G6.50130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400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17 962,81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17 962,81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17 962,81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709,00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709,00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12.1.01.00000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309,00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309,00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Резервный фонд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12.1.01.41000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309,00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309,00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12.1.01.41000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309,00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309,00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12.1.02.00000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направленные на предотвращение чрезвычайных ситуаций и стихийных бедствий природного и техногенного характера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12.1.02.45050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12.1.02.45050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12.3.00.00000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13 484,60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13 484,60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13 484,60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12.3.01.00000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13 484,60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13 484,60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13 484,60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12.3.01.00590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1 440,00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1 440,00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12.3.01.00590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1 440,00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1 440,00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реализацию мероприятий по исполнению требований по антитеррористической защищенности объектов образования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12.3.01.S2250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12 044,60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12 044,60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12 044,60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12.3.01.S2250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12 044,60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12 044,60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12 044,60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12.4.00.00000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1 986,33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1 986,33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1 986,33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«Работа с несовершеннолетними правонарушителями, детьми состоящими на профучетах и в группе «риска»«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12.4.01.00000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12,17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12,17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12.4.01.45300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12,17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12,17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12.4.01.45300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12,17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12,17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«Занятость и трудоустройство несовершеннолетних»</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12.4.02.00000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1 974,16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1 974,16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по организации временной занятости несовершеннолетних и общественных работ</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12.4.02.48100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1 974,16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1 974,16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12.4.02.48100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1 974,16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1 974,16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12.5.00.00000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162,24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162,24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12.5.01.00000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16,96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16,96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12.5.01.00590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16,96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16,96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12.5.01.00590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16,96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16,96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12.5.02.00000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15,21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15,21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12.5.02.00590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15,21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15,21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12.5.02.00590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15,21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15,21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«Организация досуга детей, подростков, молодежи»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12.5.03.00000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78,44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78,44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12.5.03.00590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78,44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78,44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12.5.03.00590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78,44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78,44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«Организация и проведение фестивалей авторской песни»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12.5.04.00000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51,63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51,63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12.5.04.00590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51,63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51,63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12.5.04.00590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51,63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51,63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«Построение и развитие аппаратно-программного комплекса «Безопасный город»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12.6.00.00000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1 520,64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1 520,64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«Реконструкция и содержание муниципального сегмента РАСЦО»</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12.6.01.00000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1 520,64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1 520,64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12.6.01.45510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1 520,64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1 520,64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12.6.01.45510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1 520,64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1 520,64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«Профилактика преступлений и иных правонарушений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12.7.00.00000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12.7.03.00000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12.7.03.45300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12.7.03.45300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19 217,51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17 857,84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17 857,84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6 730,45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7 021,48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7 021,48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«Обеспечение функционирования МКУ «ЕДДС»«</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13.1.01.00000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6 730,45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7 021,48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7 021,48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13.1.01.00590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6 730,45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7 021,48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7 021,48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13.1.01.00590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6 076,80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6 367,83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6 367,83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13.1.01.00590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653,65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653,65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«Информационная среда»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13.2.00.00000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10 355,27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8 628,55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8 628,55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13.2.01.00000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8 541,34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6 814,62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6 814,62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13.2.01.00590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4 856,94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3 130,22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3 130,22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13.2.01.00590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4 856,94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3 130,22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3 130,22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оказание частичной финансовой поддержки районных (окружных) средств массовой информации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13.2.01.S2050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3 684,40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3 684,40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3 684,40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13.2.01.S2050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3 684,40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3 684,40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3 684,40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«Использование предоставляемой статистической информации»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13.2.02.00000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Муниципальный заказ на статистическую информацию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13.2.02.45110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13.2.02.45110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«Реализация мероприятий в сфере информационных технологий»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13.2.04.00000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1 663,93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1 663,93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в области информационных технологий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13.2.04.45130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1 663,93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1 663,93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13.2.04.45130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1 663,93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1 663,93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13.3.00.00000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2 131,79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2 207,81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2 207,81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«Обеспечение функционирования МКУ «Богородский архив»</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13.3.01.00000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2 034,91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2 110,93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2 110,93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13.3.01.00590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2 034,91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2 110,93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2 110,93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13.3.01.00590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1 584,44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1 660,46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1 660,46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13.3.01.00590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450,47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450,47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450,47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«Укрепление материально-технической базы»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13.3.02.00000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96,88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96,88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13.3.02.00590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96,88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96,88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13.3.02.00590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96,88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96,88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14.0.00.00000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21 898,01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18 689,06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18 689,06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«Развитие муниципальной службы»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14.1.00.00000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200,64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200,64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«Обеспечение профессиональной подготовки»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14.1.03.00000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200,64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200,64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Переподготовка и повышение квалификации кадров</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14.1.03.45070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200,64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200,64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14.1.03.45070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200,64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200,64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14.2.00.00000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21 697,37</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18 488,42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18 488,42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14.2.01.00000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18 026,72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18 488,42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18 488,42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14.2.01.00590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18 026,72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18 488,42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18 488,42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14.2.01.00590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9 627,00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10 088,70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10 088,70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14.2.01.00590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8 387,54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8 387,54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14.2.01.00590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12,18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12,18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«Укрепление материально-технической базы»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14.2.02.00000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3 670,65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14.2.02.00590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3 670,65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14.2.02.00590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3 670,65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15.0.00.00000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11 387,93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11 466,53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11 464,83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«Благоустройство общественных пространств»</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15.1.00.00000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764,30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842,90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Федеральный проект «Формирование комфортной городской среды»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15.1.F2.00000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764,30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842,90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поддержку муниципальных программ формирования современной городской среды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15.1.F2.55550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764,30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842,90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15.1.F2.55550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764,30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842,90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«Благоустройство дворовых территорий»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15.2.00.00000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10 623,63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10 623,63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10 623,63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Федеральный проект «Формирование комфортной городской среды»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15.2.F2.00000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10 623,63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10 623,63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10 623,63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проведение ремонта дворовых территорий в муниципальных образованиях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15.2.F2.S2980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10 623,63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10 623,63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10 623,63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15.2.F2.S2980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10 623,63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10 623,63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10 623,63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177 388,74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179 448,34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179 448,34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120 628,64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121 108,04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121 108,04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13 107,88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13 700,18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13 700,18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в области обращения с твердыми коммунальными отходами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16.1.01.43910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3 083,88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3 083,88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3 083,88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16.1.01.43910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3 083,88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3 083,88</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3 083,88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16.1.01.44800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4 000,00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16.1.01.44800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400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4 000,00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создание (обустройство) контейнерных площадок</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16.1.01.S2670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4 212,00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7 991,10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7 991,10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16.1.01.S2670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4 212,00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7 991,10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7 991,10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приобретение контейнеров и (или) бункеров</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16.1.01.S2870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1 812,00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2 625,20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2 625,20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16.1.01.S2870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1 812,00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2 625,20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2 625,20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107 520,76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107 407,86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107 407,86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42 396,13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44 123,77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44 123,77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37 720,79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39 448,43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39 448,43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4 303,55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4 303,55</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4 303,55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371,79</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371,79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371,79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по организации освещения улиц территории поселения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16.1.02.43100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34 746,60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34 746,60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34 746,60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16.1.02.43100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34 746,60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34 746,60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34 746,60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по озеленению территории поселения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16.1.02.43300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409,00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409,00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16.1.02.43300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409,00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409,00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по спилу, обрезке (вырубке) и валке деревьев</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16.1.02.43310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3 397,84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3 397,94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3 397,94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16.1.02.43310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3 397,84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3 397,94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3 397,94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по ликвидации и предовращении массового распространения сорного растения борщевик Сосновского</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16.1.02.43320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16.1.02.43320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по содержанию мест захоронения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16.1.02.43400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1 099,00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1 099,00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16.1.02.43400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1 099,00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1 099,00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Прочие мероприятия по благоустройству</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16.1.02.43500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1 865,64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16.1.02.43500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1 865,64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по содержанию объектов культурного наследия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16.1.02.43700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16.1.02.43700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по обустройству мест массового отдыха населения и общественных пространств</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16.1.02.43800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5 077,36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5 077,36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5 077,36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16.1.02.43800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5 077,36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5 077,36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5 077,36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16.1.02.43900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1 291,03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1 291,03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1 291,03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16.1.02.43900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1 291,03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1 291,03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1 291,03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реализацию проектов инициативного бюджетирования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16.1.02.43940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16.1.02.43940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реализацию мероприятий в рамках проекта «Память поколений»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16.1.02.S2680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5 867,16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5 867,16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5 867,16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16.1.02.S2680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5 867,16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5 867,16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5 867,16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содержание объектов благоустройства и общественных территорий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16.1.02.S2820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7 621,00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7 621,00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7 621,00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16.1.02.S2820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7 621,00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7 621,00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7 621,00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«Пожарная безопасность населенных пунктов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16.2.00.00000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29 220,60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29 658,27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29 658,27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16.2.01.00000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28 620,60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29 658,27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29 658,27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16.2.01.00590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27 608,60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28 646,27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28 646,27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16.2.01.00590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23 635,06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24 672,73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24 672,73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16.2.01.00590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3 973,54</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3 973,54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3 973,54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проведение противопожарных мероприятий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16.2.01.45060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1 012,00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1 012,00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16.2.01.45060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1 012,00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1 012,00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«Укрепление материально-технической базы»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16.2.02.00000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16.2.02.00590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16.2.02.00590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600,00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«Обеспечение реализации муниципальной программы»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16.3.00.00000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27 539,50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28 682,03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28 682,03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16.3.01.00000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27 539,50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28 682,03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28 682,03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16.3.01.00190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27 539,50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28 682,03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28 682,03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16.3.01.00190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23 817,72</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24 960,24</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24 960,24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16.3.01.00190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3 721,78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3 721,79</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3 721,79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17.0.00.00000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17.3.00.00000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«Разработка программ энергосбережения муниципальными учреждениями»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17.3.01.00000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17.3.01.00590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17.3.01.00590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17.3.01.00590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600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Непрограммные расходы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99.0.00.00000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105 355,35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99 770,17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110 237,78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Непрограммные направления деятельности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99.9.00.00000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105 355,35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99 770,17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110 237,78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99.9.01.00000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88 696,28</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82 846,43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93 262,44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функций главы муниципального образования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99.9.01.00030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2 827,73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2 963,42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2 963,42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99.9.01.00030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2 827,73</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2 963,42</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2 963,42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85 868,55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79 883,01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90 299,02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84 604,85</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78 724,11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89 140,12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99.9.01.00190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1 263,70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1 158,90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1 158,90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99.9.02.00000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8 524,36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8 920,93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8 920,93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8 524,36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8 920,93</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8 920,93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8 268,50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8 665,07</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8 665,07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99.9.02.00590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255,86</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255,86</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99.9.03.00000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4 639,60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4 723,50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4 775,10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99.9.03.51180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1 490,50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1 555,30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99.9.03.51180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1 490,50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1 555,30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1 608,20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99.9.03.51200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99.9.03.51200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4,90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5,00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99.9.03.73120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824,70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843,70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и иные выплаты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99.9.03.73120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300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824,70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843,70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99.9.03.73920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1 217,60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1 217,60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1 217,60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99.9.03.73920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1 171,80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1 171,80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1 171,80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99.9.03.73920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45,80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45,80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99.9.03.73930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99.9.03.73930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99.9.03.73940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1 090,40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1 090,40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1 090,40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99.9.03.73940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100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1 045,80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1 045,80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1 045,80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99.9.03.73940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44,60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44,60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Основное мероприятие «Прочие непрограммные расходы»</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99.9.04.00000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3 495,11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3 279,31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3 279,31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на проведение выборов депутатов представительных органов муниципальных образований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99.9.04.40020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215,80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99.9.04.40020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215,80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Мероприятия в области строительства, архитектуры и градостроительства</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99.9.04.42000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151,61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151,61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99.9.04.42000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151,61</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151,61</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Прочие выплаты по обязательствам муниципального образования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99.9.04.46000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87,50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87,50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99.9.04.46000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87,50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87,50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Расходы по проведению встреч, совещаний, мероприятий</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99.9.04.46100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368,20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368,20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99.9.04.46100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200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368,20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368,20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368,20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Субсидии на возмещение части затрат юридическим лицам по предоставлению бытовых услуг населению</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99.9.04.66100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000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2 672,00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2 672,00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color w:val="000000"/>
                <w:sz w:val="20"/>
                <w:szCs w:val="20"/>
              </w:rPr>
            </w:pPr>
            <w:r>
              <w:rPr>
                <w:color w:val="000000"/>
                <w:sz w:val="20"/>
                <w:szCs w:val="20"/>
              </w:rPr>
              <w:t>Иные бюджетные ассигнования</w:t>
            </w:r>
          </w:p>
        </w:tc>
        <w:tc>
          <w:tcPr>
            <w:tcW w:w="682"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99.9.04.66100</w:t>
            </w:r>
          </w:p>
        </w:tc>
        <w:tc>
          <w:tcPr>
            <w:tcW w:w="379" w:type="pct"/>
            <w:shd w:val="clear" w:color="auto" w:fill="auto"/>
            <w:noWrap w:val="0"/>
            <w:tcMar>
              <w:left w:w="28" w:type="dxa"/>
              <w:right w:w="28" w:type="dxa"/>
            </w:tcMar>
            <w:vAlign w:val="center"/>
          </w:tcPr>
          <w:p>
            <w:pPr>
              <w:autoSpaceDE/>
              <w:autoSpaceDN/>
              <w:jc w:val="center"/>
              <w:rPr>
                <w:color w:val="000000"/>
                <w:sz w:val="20"/>
                <w:szCs w:val="20"/>
              </w:rPr>
            </w:pPr>
            <w:r>
              <w:rPr>
                <w:color w:val="000000"/>
                <w:sz w:val="20"/>
                <w:szCs w:val="20"/>
              </w:rPr>
              <w:t>800</w:t>
            </w:r>
          </w:p>
        </w:tc>
        <w:tc>
          <w:tcPr>
            <w:tcW w:w="606"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2 672,00</w:t>
            </w:r>
          </w:p>
        </w:tc>
        <w:tc>
          <w:tcPr>
            <w:tcW w:w="612"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2 672,00</w:t>
            </w:r>
          </w:p>
        </w:tc>
        <w:tc>
          <w:tcPr>
            <w:tcW w:w="600" w:type="pct"/>
            <w:shd w:val="clear" w:color="auto" w:fill="auto"/>
            <w:noWrap/>
            <w:tcMar>
              <w:left w:w="28" w:type="dxa"/>
              <w:right w:w="28" w:type="dxa"/>
            </w:tcMar>
            <w:vAlign w:val="bottom"/>
          </w:tcPr>
          <w:p>
            <w:pPr>
              <w:autoSpaceDE/>
              <w:autoSpaceDN/>
              <w:jc w:val="center"/>
              <w:rPr>
                <w:color w:val="000000"/>
                <w:sz w:val="20"/>
                <w:szCs w:val="20"/>
              </w:rPr>
            </w:pPr>
            <w:r>
              <w:rPr>
                <w:color w:val="000000"/>
                <w:sz w:val="20"/>
                <w:szCs w:val="20"/>
              </w:rPr>
              <w:t>2 672,00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121" w:type="pct"/>
            <w:shd w:val="clear" w:color="auto" w:fill="auto"/>
            <w:noWrap w:val="0"/>
            <w:tcMar>
              <w:left w:w="28" w:type="dxa"/>
              <w:right w:w="28" w:type="dxa"/>
            </w:tcMar>
            <w:vAlign w:val="center"/>
          </w:tcPr>
          <w:p>
            <w:pPr>
              <w:autoSpaceDE/>
              <w:autoSpaceDN/>
              <w:jc w:val="both"/>
              <w:rPr>
                <w:b/>
                <w:bCs/>
                <w:color w:val="000000"/>
                <w:sz w:val="20"/>
                <w:szCs w:val="20"/>
              </w:rPr>
            </w:pPr>
            <w:r>
              <w:rPr>
                <w:b/>
                <w:bCs/>
                <w:color w:val="000000"/>
                <w:sz w:val="20"/>
                <w:szCs w:val="20"/>
              </w:rPr>
              <w:t>Всего</w:t>
            </w:r>
          </w:p>
        </w:tc>
        <w:tc>
          <w:tcPr>
            <w:tcW w:w="682" w:type="pct"/>
            <w:shd w:val="clear" w:color="auto" w:fill="auto"/>
            <w:noWrap w:val="0"/>
            <w:tcMar>
              <w:left w:w="28" w:type="dxa"/>
              <w:right w:w="28" w:type="dxa"/>
            </w:tcMar>
            <w:vAlign w:val="center"/>
          </w:tcPr>
          <w:p>
            <w:pPr>
              <w:autoSpaceDE/>
              <w:autoSpaceDN/>
              <w:jc w:val="center"/>
              <w:rPr>
                <w:b/>
                <w:bCs/>
                <w:color w:val="000000"/>
                <w:sz w:val="20"/>
                <w:szCs w:val="20"/>
              </w:rPr>
            </w:pPr>
            <w:r>
              <w:rPr>
                <w:b/>
                <w:bCs/>
                <w:color w:val="000000"/>
                <w:sz w:val="20"/>
                <w:szCs w:val="20"/>
              </w:rPr>
              <w:t> </w:t>
            </w:r>
          </w:p>
        </w:tc>
        <w:tc>
          <w:tcPr>
            <w:tcW w:w="379" w:type="pct"/>
            <w:shd w:val="clear" w:color="auto" w:fill="auto"/>
            <w:noWrap w:val="0"/>
            <w:tcMar>
              <w:left w:w="28" w:type="dxa"/>
              <w:right w:w="28" w:type="dxa"/>
            </w:tcMar>
            <w:vAlign w:val="center"/>
          </w:tcPr>
          <w:p>
            <w:pPr>
              <w:autoSpaceDE/>
              <w:autoSpaceDN/>
              <w:jc w:val="center"/>
              <w:rPr>
                <w:b/>
                <w:bCs/>
                <w:color w:val="000000"/>
                <w:sz w:val="20"/>
                <w:szCs w:val="20"/>
              </w:rPr>
            </w:pPr>
            <w:r>
              <w:rPr>
                <w:b/>
                <w:bCs/>
                <w:color w:val="000000"/>
                <w:sz w:val="20"/>
                <w:szCs w:val="20"/>
              </w:rPr>
              <w:t> </w:t>
            </w:r>
          </w:p>
        </w:tc>
        <w:tc>
          <w:tcPr>
            <w:tcW w:w="606" w:type="pct"/>
            <w:shd w:val="clear" w:color="auto" w:fill="auto"/>
            <w:noWrap/>
            <w:tcMar>
              <w:left w:w="28" w:type="dxa"/>
              <w:right w:w="28" w:type="dxa"/>
            </w:tcMar>
            <w:vAlign w:val="bottom"/>
          </w:tcPr>
          <w:p>
            <w:pPr>
              <w:autoSpaceDE/>
              <w:autoSpaceDN/>
              <w:jc w:val="center"/>
              <w:rPr>
                <w:b/>
                <w:bCs/>
                <w:color w:val="000000"/>
                <w:sz w:val="20"/>
                <w:szCs w:val="20"/>
              </w:rPr>
            </w:pPr>
            <w:r>
              <w:rPr>
                <w:b/>
                <w:bCs/>
                <w:color w:val="000000"/>
                <w:sz w:val="20"/>
                <w:szCs w:val="20"/>
              </w:rPr>
              <w:t>2 510 437,90</w:t>
            </w:r>
          </w:p>
        </w:tc>
        <w:tc>
          <w:tcPr>
            <w:tcW w:w="612" w:type="pct"/>
            <w:shd w:val="clear" w:color="auto" w:fill="auto"/>
            <w:noWrap/>
            <w:tcMar>
              <w:left w:w="28" w:type="dxa"/>
              <w:right w:w="28" w:type="dxa"/>
            </w:tcMar>
            <w:vAlign w:val="bottom"/>
          </w:tcPr>
          <w:p>
            <w:pPr>
              <w:autoSpaceDE/>
              <w:autoSpaceDN/>
              <w:jc w:val="center"/>
              <w:rPr>
                <w:b/>
                <w:bCs/>
                <w:color w:val="000000"/>
                <w:sz w:val="20"/>
                <w:szCs w:val="20"/>
              </w:rPr>
            </w:pPr>
            <w:r>
              <w:rPr>
                <w:b/>
                <w:bCs/>
                <w:color w:val="000000"/>
                <w:sz w:val="20"/>
                <w:szCs w:val="20"/>
              </w:rPr>
              <w:t>2 327 016,90</w:t>
            </w:r>
          </w:p>
        </w:tc>
        <w:tc>
          <w:tcPr>
            <w:tcW w:w="600" w:type="pct"/>
            <w:shd w:val="clear" w:color="auto" w:fill="auto"/>
            <w:noWrap/>
            <w:tcMar>
              <w:left w:w="28" w:type="dxa"/>
              <w:right w:w="28" w:type="dxa"/>
            </w:tcMar>
            <w:vAlign w:val="bottom"/>
          </w:tcPr>
          <w:p>
            <w:pPr>
              <w:autoSpaceDE/>
              <w:autoSpaceDN/>
              <w:jc w:val="center"/>
              <w:rPr>
                <w:b/>
                <w:bCs/>
                <w:color w:val="000000"/>
                <w:sz w:val="20"/>
                <w:szCs w:val="20"/>
              </w:rPr>
            </w:pPr>
            <w:r>
              <w:rPr>
                <w:b/>
                <w:bCs/>
                <w:color w:val="000000"/>
                <w:sz w:val="20"/>
                <w:szCs w:val="20"/>
              </w:rPr>
              <w:t>2 292 193,70</w:t>
            </w:r>
          </w:p>
        </w:tc>
      </w:tr>
    </w:tbl>
    <w:p>
      <w:pPr>
        <w:tabs>
          <w:tab w:val="left" w:pos="568"/>
        </w:tabs>
        <w:ind w:firstLine="720"/>
        <w:jc w:val="center"/>
        <w:rPr>
          <w:rFonts w:eastAsia="Lucida Sans Unicode"/>
          <w:kern w:val="2"/>
          <w:sz w:val="28"/>
          <w:szCs w:val="28"/>
        </w:rPr>
      </w:pPr>
    </w:p>
    <w:p>
      <w:pPr>
        <w:tabs>
          <w:tab w:val="left" w:pos="568"/>
        </w:tabs>
        <w:ind w:firstLine="720"/>
        <w:jc w:val="center"/>
        <w:rPr>
          <w:rFonts w:eastAsia="Lucida Sans Unicode"/>
          <w:kern w:val="2"/>
          <w:sz w:val="28"/>
          <w:szCs w:val="28"/>
        </w:rPr>
        <w:sectPr>
          <w:pgSz w:w="11906" w:h="16838"/>
          <w:pgMar w:top="1134" w:right="850" w:bottom="1134" w:left="1701" w:header="709" w:footer="709" w:gutter="0"/>
          <w:pgNumType w:start="1"/>
          <w:cols w:space="708" w:num="1"/>
          <w:titlePg/>
          <w:docGrid w:linePitch="360" w:charSpace="0"/>
        </w:sectPr>
      </w:pPr>
      <w:r>
        <w:rPr>
          <w:rFonts w:eastAsia="Lucida Sans Unicode"/>
          <w:kern w:val="2"/>
          <w:sz w:val="28"/>
          <w:szCs w:val="28"/>
        </w:rPr>
        <w:t>____________________</w:t>
      </w:r>
    </w:p>
    <w:p>
      <w:pPr>
        <w:tabs>
          <w:tab w:val="left" w:pos="568"/>
        </w:tabs>
        <w:ind w:firstLine="5580"/>
        <w:jc w:val="center"/>
        <w:rPr>
          <w:rFonts w:eastAsia="Lucida Sans Unicode"/>
          <w:kern w:val="2"/>
          <w:sz w:val="28"/>
          <w:szCs w:val="28"/>
        </w:rPr>
      </w:pPr>
      <w:r>
        <w:rPr>
          <w:rFonts w:eastAsia="Lucida Sans Unicode"/>
          <w:kern w:val="2"/>
          <w:sz w:val="28"/>
          <w:szCs w:val="28"/>
        </w:rPr>
        <w:t>ПРИЛОЖЕНИЕ 5</w:t>
      </w:r>
    </w:p>
    <w:p>
      <w:pPr>
        <w:tabs>
          <w:tab w:val="left" w:pos="568"/>
        </w:tabs>
        <w:ind w:firstLine="5580"/>
        <w:jc w:val="center"/>
        <w:rPr>
          <w:rFonts w:eastAsia="Lucida Sans Unicode"/>
          <w:kern w:val="2"/>
          <w:sz w:val="28"/>
          <w:szCs w:val="28"/>
        </w:rPr>
      </w:pPr>
    </w:p>
    <w:p>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pPr>
        <w:tabs>
          <w:tab w:val="left" w:pos="568"/>
        </w:tabs>
        <w:ind w:firstLine="5580"/>
        <w:jc w:val="center"/>
        <w:rPr>
          <w:rFonts w:eastAsia="Lucida Sans Unicode"/>
          <w:kern w:val="2"/>
        </w:rPr>
      </w:pPr>
      <w:r>
        <w:rPr>
          <w:rFonts w:eastAsia="Lucida Sans Unicode"/>
          <w:kern w:val="2"/>
          <w:sz w:val="28"/>
          <w:szCs w:val="28"/>
        </w:rPr>
        <w:t xml:space="preserve"> от 15.12.2022 № 147</w:t>
      </w:r>
    </w:p>
    <w:p>
      <w:pPr>
        <w:tabs>
          <w:tab w:val="left" w:pos="568"/>
        </w:tabs>
        <w:jc w:val="center"/>
        <w:rPr>
          <w:b/>
        </w:rPr>
      </w:pPr>
    </w:p>
    <w:p>
      <w:pPr>
        <w:jc w:val="center"/>
        <w:rPr>
          <w:b/>
        </w:rPr>
      </w:pPr>
      <w:r>
        <w:rPr>
          <w:b/>
        </w:rPr>
        <w:t xml:space="preserve">Ведомственная структура расходов бюджета на 2023 </w:t>
      </w:r>
      <w:r>
        <w:rPr>
          <w:b/>
          <w:bCs/>
        </w:rPr>
        <w:t xml:space="preserve">год </w:t>
      </w:r>
      <w:r>
        <w:rPr>
          <w:b/>
        </w:rPr>
        <w:t>и на плановый период 2024 и 2025 годов</w:t>
      </w:r>
    </w:p>
    <w:p>
      <w:pPr>
        <w:jc w:val="right"/>
      </w:pPr>
      <w:r>
        <w:t>(тыс. руб.)</w:t>
      </w:r>
    </w:p>
    <w:tbl>
      <w:tblPr>
        <w:tblStyle w:val="12"/>
        <w:tblW w:w="5269" w:type="pct"/>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8"/>
        <w:gridCol w:w="565"/>
        <w:gridCol w:w="426"/>
        <w:gridCol w:w="567"/>
        <w:gridCol w:w="1277"/>
        <w:gridCol w:w="569"/>
        <w:gridCol w:w="990"/>
        <w:gridCol w:w="859"/>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vMerge w:val="restart"/>
            <w:shd w:val="clear" w:color="auto" w:fill="auto"/>
            <w:noWrap w:val="0"/>
            <w:tcMar>
              <w:left w:w="28" w:type="dxa"/>
              <w:right w:w="28" w:type="dxa"/>
            </w:tcMar>
            <w:vAlign w:val="center"/>
          </w:tcPr>
          <w:p>
            <w:pPr>
              <w:jc w:val="center"/>
              <w:rPr>
                <w:b/>
                <w:bCs/>
                <w:sz w:val="18"/>
                <w:szCs w:val="18"/>
              </w:rPr>
            </w:pPr>
            <w:r>
              <w:rPr>
                <w:b/>
                <w:bCs/>
                <w:sz w:val="18"/>
                <w:szCs w:val="18"/>
              </w:rPr>
              <w:t>Наименование</w:t>
            </w:r>
          </w:p>
        </w:tc>
        <w:tc>
          <w:tcPr>
            <w:tcW w:w="1716" w:type="pct"/>
            <w:gridSpan w:val="5"/>
            <w:shd w:val="clear" w:color="auto" w:fill="auto"/>
            <w:noWrap w:val="0"/>
            <w:tcMar>
              <w:left w:w="28" w:type="dxa"/>
              <w:right w:w="28" w:type="dxa"/>
            </w:tcMar>
            <w:vAlign w:val="center"/>
          </w:tcPr>
          <w:p>
            <w:pPr>
              <w:autoSpaceDE/>
              <w:autoSpaceDN/>
              <w:jc w:val="center"/>
              <w:rPr>
                <w:b/>
                <w:bCs/>
                <w:sz w:val="18"/>
                <w:szCs w:val="18"/>
              </w:rPr>
            </w:pPr>
            <w:r>
              <w:rPr>
                <w:b/>
                <w:bCs/>
                <w:sz w:val="18"/>
                <w:szCs w:val="18"/>
              </w:rPr>
              <w:t>Код бюджетной классификации</w:t>
            </w:r>
          </w:p>
        </w:tc>
        <w:tc>
          <w:tcPr>
            <w:tcW w:w="499" w:type="pct"/>
            <w:vMerge w:val="restart"/>
            <w:shd w:val="clear" w:color="auto" w:fill="auto"/>
            <w:noWrap w:val="0"/>
            <w:tcMar>
              <w:left w:w="28" w:type="dxa"/>
              <w:right w:w="28" w:type="dxa"/>
            </w:tcMar>
            <w:vAlign w:val="center"/>
          </w:tcPr>
          <w:p>
            <w:pPr>
              <w:jc w:val="center"/>
              <w:rPr>
                <w:b/>
                <w:bCs/>
                <w:sz w:val="18"/>
                <w:szCs w:val="18"/>
              </w:rPr>
            </w:pPr>
            <w:r>
              <w:rPr>
                <w:b/>
                <w:bCs/>
                <w:sz w:val="18"/>
                <w:szCs w:val="18"/>
              </w:rPr>
              <w:t>2023 год</w:t>
            </w:r>
          </w:p>
        </w:tc>
        <w:tc>
          <w:tcPr>
            <w:tcW w:w="433" w:type="pct"/>
            <w:vMerge w:val="restart"/>
            <w:shd w:val="clear" w:color="auto" w:fill="auto"/>
            <w:noWrap w:val="0"/>
            <w:tcMar>
              <w:left w:w="28" w:type="dxa"/>
              <w:right w:w="28" w:type="dxa"/>
            </w:tcMar>
            <w:vAlign w:val="center"/>
          </w:tcPr>
          <w:p>
            <w:pPr>
              <w:jc w:val="center"/>
              <w:rPr>
                <w:b/>
                <w:bCs/>
                <w:sz w:val="18"/>
                <w:szCs w:val="18"/>
              </w:rPr>
            </w:pPr>
            <w:r>
              <w:rPr>
                <w:b/>
                <w:bCs/>
                <w:sz w:val="18"/>
                <w:szCs w:val="18"/>
              </w:rPr>
              <w:t>2024 год</w:t>
            </w:r>
          </w:p>
        </w:tc>
        <w:tc>
          <w:tcPr>
            <w:tcW w:w="492" w:type="pct"/>
            <w:vMerge w:val="restart"/>
            <w:shd w:val="clear" w:color="auto" w:fill="auto"/>
            <w:noWrap w:val="0"/>
            <w:tcMar>
              <w:left w:w="28" w:type="dxa"/>
              <w:right w:w="28" w:type="dxa"/>
            </w:tcMar>
            <w:vAlign w:val="center"/>
          </w:tcPr>
          <w:p>
            <w:pPr>
              <w:jc w:val="center"/>
              <w:rPr>
                <w:b/>
                <w:bCs/>
                <w:sz w:val="18"/>
                <w:szCs w:val="18"/>
              </w:rPr>
            </w:pPr>
            <w:r>
              <w:rPr>
                <w:b/>
                <w:bCs/>
                <w:sz w:val="18"/>
                <w:szCs w:val="18"/>
              </w:rPr>
              <w:t>2025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vMerge w:val="continue"/>
            <w:shd w:val="clear" w:color="auto" w:fill="auto"/>
            <w:noWrap w:val="0"/>
            <w:tcMar>
              <w:left w:w="28" w:type="dxa"/>
              <w:right w:w="28" w:type="dxa"/>
            </w:tcMar>
            <w:vAlign w:val="center"/>
          </w:tcPr>
          <w:p>
            <w:pPr>
              <w:autoSpaceDE/>
              <w:autoSpaceDN/>
              <w:jc w:val="center"/>
              <w:rPr>
                <w:b/>
                <w:bCs/>
                <w:sz w:val="18"/>
                <w:szCs w:val="18"/>
              </w:rPr>
            </w:pPr>
          </w:p>
        </w:tc>
        <w:tc>
          <w:tcPr>
            <w:tcW w:w="285" w:type="pct"/>
            <w:shd w:val="clear" w:color="auto" w:fill="auto"/>
            <w:noWrap w:val="0"/>
            <w:tcMar>
              <w:left w:w="28" w:type="dxa"/>
              <w:right w:w="28" w:type="dxa"/>
            </w:tcMar>
            <w:vAlign w:val="center"/>
          </w:tcPr>
          <w:p>
            <w:pPr>
              <w:jc w:val="center"/>
              <w:rPr>
                <w:b/>
                <w:bCs/>
                <w:sz w:val="18"/>
                <w:szCs w:val="18"/>
                <w:lang w:eastAsia="en-US"/>
              </w:rPr>
            </w:pPr>
            <w:r>
              <w:rPr>
                <w:b/>
                <w:bCs/>
                <w:sz w:val="18"/>
                <w:szCs w:val="18"/>
              </w:rPr>
              <w:t>Ведомство</w:t>
            </w:r>
          </w:p>
        </w:tc>
        <w:tc>
          <w:tcPr>
            <w:tcW w:w="215" w:type="pct"/>
            <w:shd w:val="clear" w:color="auto" w:fill="auto"/>
            <w:noWrap w:val="0"/>
            <w:tcMar>
              <w:left w:w="28" w:type="dxa"/>
              <w:right w:w="28" w:type="dxa"/>
            </w:tcMar>
            <w:vAlign w:val="center"/>
          </w:tcPr>
          <w:p>
            <w:pPr>
              <w:jc w:val="center"/>
              <w:rPr>
                <w:b/>
                <w:bCs/>
                <w:sz w:val="18"/>
                <w:szCs w:val="18"/>
                <w:lang w:eastAsia="en-US"/>
              </w:rPr>
            </w:pPr>
            <w:r>
              <w:rPr>
                <w:b/>
                <w:bCs/>
                <w:sz w:val="18"/>
                <w:szCs w:val="18"/>
              </w:rPr>
              <w:t>Раздел</w:t>
            </w:r>
          </w:p>
        </w:tc>
        <w:tc>
          <w:tcPr>
            <w:tcW w:w="286" w:type="pct"/>
            <w:shd w:val="clear" w:color="auto" w:fill="auto"/>
            <w:noWrap w:val="0"/>
            <w:tcMar>
              <w:left w:w="28" w:type="dxa"/>
              <w:right w:w="28" w:type="dxa"/>
            </w:tcMar>
            <w:vAlign w:val="center"/>
          </w:tcPr>
          <w:p>
            <w:pPr>
              <w:jc w:val="center"/>
              <w:rPr>
                <w:b/>
                <w:bCs/>
                <w:sz w:val="18"/>
                <w:szCs w:val="18"/>
                <w:lang w:eastAsia="en-US"/>
              </w:rPr>
            </w:pPr>
            <w:r>
              <w:rPr>
                <w:b/>
                <w:bCs/>
                <w:sz w:val="18"/>
                <w:szCs w:val="18"/>
              </w:rPr>
              <w:t>Подраздел</w:t>
            </w:r>
          </w:p>
        </w:tc>
        <w:tc>
          <w:tcPr>
            <w:tcW w:w="644" w:type="pct"/>
            <w:shd w:val="clear" w:color="auto" w:fill="auto"/>
            <w:noWrap w:val="0"/>
            <w:tcMar>
              <w:left w:w="28" w:type="dxa"/>
              <w:right w:w="28" w:type="dxa"/>
            </w:tcMar>
            <w:vAlign w:val="center"/>
          </w:tcPr>
          <w:p>
            <w:pPr>
              <w:jc w:val="center"/>
              <w:rPr>
                <w:b/>
                <w:bCs/>
                <w:sz w:val="18"/>
                <w:szCs w:val="18"/>
                <w:lang w:eastAsia="en-US"/>
              </w:rPr>
            </w:pPr>
            <w:r>
              <w:rPr>
                <w:b/>
                <w:bCs/>
                <w:sz w:val="18"/>
                <w:szCs w:val="18"/>
              </w:rPr>
              <w:t>Целевая статья расходов</w:t>
            </w:r>
          </w:p>
        </w:tc>
        <w:tc>
          <w:tcPr>
            <w:tcW w:w="287" w:type="pct"/>
            <w:shd w:val="clear" w:color="auto" w:fill="auto"/>
            <w:noWrap w:val="0"/>
            <w:tcMar>
              <w:left w:w="28" w:type="dxa"/>
              <w:right w:w="28" w:type="dxa"/>
            </w:tcMar>
            <w:vAlign w:val="center"/>
          </w:tcPr>
          <w:p>
            <w:pPr>
              <w:jc w:val="center"/>
              <w:rPr>
                <w:b/>
                <w:bCs/>
                <w:sz w:val="18"/>
                <w:szCs w:val="18"/>
                <w:lang w:eastAsia="en-US"/>
              </w:rPr>
            </w:pPr>
            <w:r>
              <w:rPr>
                <w:b/>
                <w:bCs/>
                <w:sz w:val="18"/>
                <w:szCs w:val="18"/>
              </w:rPr>
              <w:t>Вид расходов</w:t>
            </w:r>
          </w:p>
        </w:tc>
        <w:tc>
          <w:tcPr>
            <w:tcW w:w="499" w:type="pct"/>
            <w:vMerge w:val="continue"/>
            <w:shd w:val="clear" w:color="auto" w:fill="auto"/>
            <w:noWrap w:val="0"/>
            <w:tcMar>
              <w:left w:w="28" w:type="dxa"/>
              <w:right w:w="28" w:type="dxa"/>
            </w:tcMar>
            <w:vAlign w:val="center"/>
          </w:tcPr>
          <w:p>
            <w:pPr>
              <w:autoSpaceDE/>
              <w:autoSpaceDN/>
              <w:jc w:val="center"/>
              <w:rPr>
                <w:b/>
                <w:bCs/>
                <w:sz w:val="18"/>
                <w:szCs w:val="18"/>
              </w:rPr>
            </w:pPr>
          </w:p>
        </w:tc>
        <w:tc>
          <w:tcPr>
            <w:tcW w:w="433" w:type="pct"/>
            <w:vMerge w:val="continue"/>
            <w:shd w:val="clear" w:color="auto" w:fill="auto"/>
            <w:noWrap w:val="0"/>
            <w:tcMar>
              <w:left w:w="28" w:type="dxa"/>
              <w:right w:w="28" w:type="dxa"/>
            </w:tcMar>
            <w:vAlign w:val="top"/>
          </w:tcPr>
          <w:p>
            <w:pPr>
              <w:autoSpaceDE/>
              <w:autoSpaceDN/>
              <w:jc w:val="center"/>
              <w:rPr>
                <w:b/>
                <w:bCs/>
                <w:sz w:val="18"/>
                <w:szCs w:val="18"/>
              </w:rPr>
            </w:pPr>
          </w:p>
        </w:tc>
        <w:tc>
          <w:tcPr>
            <w:tcW w:w="492" w:type="pct"/>
            <w:vMerge w:val="continue"/>
            <w:shd w:val="clear" w:color="auto" w:fill="auto"/>
            <w:noWrap w:val="0"/>
            <w:tcMar>
              <w:left w:w="28" w:type="dxa"/>
              <w:right w:w="28" w:type="dxa"/>
            </w:tcMar>
            <w:vAlign w:val="top"/>
          </w:tcPr>
          <w:p>
            <w:pPr>
              <w:autoSpaceDE/>
              <w:autoSpaceDN/>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ФИНАНСОВОЕ УПРАВЛЕНИЕ АДМИНИСТРАЦИИ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84 823,22</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47 129,47</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52 664,37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ОБЩЕГОСУДАРСТВЕННЫЕ ВОПРОСЫ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82 447,56</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44 763,06</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51 422,96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16 351,34</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17 068,56</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17 068,56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16 351,34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17 068,56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17 068,56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«Обеспечение реализации муниципальной программы»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16 351,34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17 068,56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17 068,56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аппарата 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07.3.01.00000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16 351,34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17 068,56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17 068,56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функций органов местного самоуправления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07.3.01.00190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16 351,34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17 068,56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17 068,56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07.3.01.00190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15 785,11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16 542,33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16 542,33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07.3.01.00190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566,23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526,23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526,23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Резервные фонды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11</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53 174,64</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14 158,19</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20 818,09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52 865,64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13 849,19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20 509,09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52 865,64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13 849,19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20 509,09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52 865,64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13 849,19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20 509,09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Резервный фонд</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07.1.04.41000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52 865,64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13 849,19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20 509,09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07.1.04.41000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52 865,64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13 849,19</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20 509,09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309,00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309,00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«Защита населения и территории Богородского муниципального округа Нижегородской области от чрезвычайных ситуаций»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309,00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309,00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309,00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309,00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Резервный фонд</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12.1.01.41000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309,00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309,00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12.1.01.41000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309,00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309,00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Другие общегосударственные вопросы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12 921,58</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13 536,31</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13 536,31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12 921,58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13 536,31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13 536,31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12 921,58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13 536,31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13 536,31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07.1.06.00000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12 921,58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13 536,31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13 536,31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07.1.06.00590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12 921,58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13 536,31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13 536,31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07.1.06.00590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12 815,08</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13 429,81</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13 429,81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07.1.06.00590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106,50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106,50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НАЦИОНАЛЬНАЯ ЭКОНОМИКА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1 241,41</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1 241,41</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1 241,41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Связь и информатика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1 241,41</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1 241,41</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1 241,41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1 241,41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1 241,41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1 241,41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1 241,41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1 241,41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1 241,41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исполнения бюджета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07.1.05.00000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1 241,41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1 241,41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1 241,41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в области информационных технологий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07.1.05.45130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1 241,41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1 241,41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1 241,41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07.1.05.45130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1 241,41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1 241,41</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1 241,41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ОБСЛУЖИВАНИЕ ГОСУДАРСТВЕННОГО (МУНИЦИПАЛЬНОГО) ДОЛГА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13</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1 134,25</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1 125,00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Обслуживание государственного (муниципального) внутреннего долга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13</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1 134,25</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1 125,00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1 134,25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1 125,00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1 134,25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1 125,00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«Своевременное исполнение долговых обязательств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07.1.08.00000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1 134,25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1 125,00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Процентные платежи по муниципальному долгу</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07.1.08.47000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1 134,25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1 125,00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Обслуживание государственного (муниципального) долга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07.1.08.47000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700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1 134,25</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1 125,00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УПРАВЛЕНИЕ ПО ФИЗИЧЕСКОЙ КУЛЬТУРЕ И СПОРТУ АДМИНИСТРАЦИИ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115 057,26</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109 725,56</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109 725,56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ОБЩЕГОСУДАРСТВЕННЫЕ ВОПРОСЫ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100,00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100,00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Другие общегосударственные вопросы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100,00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100,00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«Профилактика преступлений и иных правонарушений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12.7.00.00000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12.7.03.00000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по обеспечению безопасности жизнедеятельности населения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12.7.03.45300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12.7.03.45300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ОБРАЗОВАНИЕ</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54 610,49</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52 189,19</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52 189,19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Дополнительное образование детей</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54 610,49</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52 189,19</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52 189,19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6 690,56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дополнительного образования и воспитания детей и молодежи»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6 690,56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Федеральный проект «Успех каждого ребенка»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01.2.E2.00000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6 690,56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01.2.E2.00591</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6 690,56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01.2.E2.00591</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6 690,56</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47 919,93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52 189,19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52 189,19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47 919,93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52 189,19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52 189,19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деятельности (оказание услуг) подведомственных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05.1.03.00000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44 933,93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52 189,19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52 189,19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05.1.03.00590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44 933,93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52 189,19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52 189,19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05.1.03.00590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44 933,93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52 189,19</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52 189,19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«Сохранение и развитие материально-технической базы подведомственных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05.1.04.00000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2 986,00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05.1.04.00590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2 986,00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05.1.04.00590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2 986,00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ФИЗИЧЕСКАЯ КУЛЬТУРА И СПОРТ</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60 346,77</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57 436,37</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57 436,37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Массовый спорт</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58 825,49</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55 842,11</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55 842,11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58 805,49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55 822,11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55 822,11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58 805,49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55 822,11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55 822,11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проведения физкультурно-оздоровительных и спортивных мероприятий»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606,88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606,88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в области спорта и физической культуры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05.1.01.45270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606,88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606,88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05.1.01.45270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05.1.01.45270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556,88</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556,88</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556,88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05.1.02.00000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3 883,78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3 883,78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3 883,78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в области спорта и физической культуры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05.1.02.45270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483,78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483,78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05.1.02.45270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153,80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153,80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05.1.02.45270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329,98</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329,98</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329,98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Поддержка некоммерческих организаций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05.1.02.49920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3 400,00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3 400,00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05.1.02.49920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3 400,00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3 400,00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деятельности (оказание услуг) подведомственных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05.1.03.00000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49 714,83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51 331,45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51 331,45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05.1.03.00590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49 714,83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51 331,45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51 331,45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05.1.03.00590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4 545,56</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4 763,33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4 763,33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05.1.03.00590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1 077,03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1 077,03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1 077,03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05.1.03.00590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43 894,24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45 293,09</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45 293,09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05.1.03.00590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198,00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198,00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«Сохранение и развитие материально-технической базы подведомственных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05.1.04.00000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4 600,00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05.1.04.00590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4 600,00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05.1.04.00590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4 600,00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17.0.00.00000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17.3.00.00000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«Разработка программ энергосбережения муниципальными учреждениями»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17.3.01.00000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17.3.01.00590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17.3.01.00590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Другие вопросы в области физической культуры и спорта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1 521,28</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1 594,26</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1 594,26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1 521,28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1 594,26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«Обеспечение реализации муниципальной программы»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1 521,28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1 594,26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аппарата 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05.2.01.00000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1 521,28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1 594,26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функций органов местного самоуправления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05.2.01.00190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1 521,28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1 594,26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05.2.01.00190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1 521,28</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1 594,26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1 594,26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УПРАВЛЕНИЕ ОБРАЗОВАНИЯ И МОЛОДЕЖНОЙ ПОЛИТИКИ АДМИНИСТРАЦИИ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1 332 918,90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1 344 694,65</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1 343 325,15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НАЦИОНАЛЬНАЯ ЭКОНОМИКА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266,25</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266,25</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266,25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Связь и информатика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266,25</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266,25</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266,25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266,25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266,25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системы оценки качества образования и обеспечение деятельности системы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266,25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266,25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«Развитие системы оценки качества образования обеспечение деятельности системы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01.3.01.00000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266,25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266,25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01.3.01.00590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266,25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266,25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01.3.01.00590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266,25</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266,25</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266,25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ОБРАЗОВАНИЕ</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1 320 095,85</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1 331 871,60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1 330 502,10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Дошкольное образование</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530 903,54</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536 139,62</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536 139,62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530 903,54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536 139,62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536 139,62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общего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522 899,02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528 130,80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528 130,80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условий развития дошкольного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522 899,02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528 130,80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528 130,80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186 235,22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191 467,00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191 467,00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186 235,22</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191 467,00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191 467,00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исполнение полномочий в сфере общего образования в муниципальных общеобразовательных организациях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01.1.01.73070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333 402,80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333 402,80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333 402,80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01.1.01.73070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333 402,80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333 402,80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333 402,80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01.1.01.73170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3 261,00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3 261,00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3 261,00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01.1.01.73170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3 261,00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3 261,00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3 261,00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«Ресурсное обеспечение сферы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01.5.00.00000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8 004,52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8 008,82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8 008,82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«Создание условий и укрепление материальной базы в образовательных организациях»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01.5.01.00000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8 004,52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8 008,82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8 008,82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01.5.01.00590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2 250,00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2 250,00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01.5.01.00590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2 250,00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2 250,00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капитальный ремонт образовательных организаций, реализующих общеобразовательные программы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01.5.01.S2180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5 754,52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5 758,82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5 758,82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01.5.01.S2180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5 754,52</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5 758,82</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5 758,82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287,72</w:t>
            </w:r>
          </w:p>
        </w:tc>
        <w:tc>
          <w:tcPr>
            <w:tcW w:w="433" w:type="pct"/>
            <w:shd w:val="clear" w:color="auto" w:fill="auto"/>
            <w:noWrap/>
            <w:tcMar>
              <w:left w:w="28" w:type="dxa"/>
              <w:right w:w="28" w:type="dxa"/>
            </w:tcMar>
            <w:vAlign w:val="bottom"/>
          </w:tcPr>
          <w:p>
            <w:pPr>
              <w:autoSpaceDE/>
              <w:autoSpaceDN/>
              <w:jc w:val="right"/>
              <w:rPr>
                <w:sz w:val="18"/>
                <w:szCs w:val="18"/>
              </w:rPr>
            </w:pPr>
            <w:r>
              <w:rPr>
                <w:sz w:val="18"/>
                <w:szCs w:val="18"/>
              </w:rPr>
              <w:t>287,72</w:t>
            </w:r>
          </w:p>
        </w:tc>
        <w:tc>
          <w:tcPr>
            <w:tcW w:w="492" w:type="pct"/>
            <w:shd w:val="clear" w:color="auto" w:fill="auto"/>
            <w:noWrap/>
            <w:tcMar>
              <w:left w:w="28" w:type="dxa"/>
              <w:right w:w="28" w:type="dxa"/>
            </w:tcMar>
            <w:vAlign w:val="bottom"/>
          </w:tcPr>
          <w:p>
            <w:pPr>
              <w:autoSpaceDE/>
              <w:autoSpaceDN/>
              <w:jc w:val="right"/>
              <w:rPr>
                <w:sz w:val="18"/>
                <w:szCs w:val="18"/>
              </w:rPr>
            </w:pPr>
            <w:r>
              <w:rPr>
                <w:sz w:val="18"/>
                <w:szCs w:val="18"/>
              </w:rPr>
              <w:t>287,72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5 466,80</w:t>
            </w:r>
          </w:p>
        </w:tc>
        <w:tc>
          <w:tcPr>
            <w:tcW w:w="433" w:type="pct"/>
            <w:shd w:val="clear" w:color="auto" w:fill="auto"/>
            <w:noWrap/>
            <w:tcMar>
              <w:left w:w="28" w:type="dxa"/>
              <w:right w:w="28" w:type="dxa"/>
            </w:tcMar>
            <w:vAlign w:val="bottom"/>
          </w:tcPr>
          <w:p>
            <w:pPr>
              <w:autoSpaceDE/>
              <w:autoSpaceDN/>
              <w:jc w:val="right"/>
              <w:rPr>
                <w:sz w:val="18"/>
                <w:szCs w:val="18"/>
              </w:rPr>
            </w:pPr>
            <w:r>
              <w:rPr>
                <w:sz w:val="18"/>
                <w:szCs w:val="18"/>
              </w:rPr>
              <w:t>5 471,10</w:t>
            </w:r>
          </w:p>
        </w:tc>
        <w:tc>
          <w:tcPr>
            <w:tcW w:w="492" w:type="pct"/>
            <w:shd w:val="clear" w:color="auto" w:fill="auto"/>
            <w:noWrap/>
            <w:tcMar>
              <w:left w:w="28" w:type="dxa"/>
              <w:right w:w="28" w:type="dxa"/>
            </w:tcMar>
            <w:vAlign w:val="bottom"/>
          </w:tcPr>
          <w:p>
            <w:pPr>
              <w:autoSpaceDE/>
              <w:autoSpaceDN/>
              <w:jc w:val="right"/>
              <w:rPr>
                <w:sz w:val="18"/>
                <w:szCs w:val="18"/>
              </w:rPr>
            </w:pPr>
            <w:r>
              <w:rPr>
                <w:sz w:val="18"/>
                <w:szCs w:val="18"/>
              </w:rPr>
              <w:t>5 471,10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Общее образование</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696 258,05</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701 011,15</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699 641,65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684 213,45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688 966,55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687 597,05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общего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665 636,08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672 925,38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671 555,88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условий развития общеобразовательных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665 636,08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669 925,38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671 555,88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01.1.02.00590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133 744,05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137 486,15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137 486,15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133 744,05</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137 486,15</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137 486,15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по организации подвоза обучающихся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01.1.02.45150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5 074,31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5 074,31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5 074,31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01.1.02.45150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5 074,31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5 074,31</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5 074,31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по организации льготного питания обучающихся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01.1.02.45190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1 433,86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1 433,86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01.1.02.45190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1 433,86</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1 433,86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1 433,86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01.1.02.53030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25 779,60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26 326,80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26 326,80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01.1.02.53030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25 779,60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26 326,80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26 326,80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исполнение полномочий в сфере общего образования в муниципальных общеобразовательных организациях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01.1.02.73070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447 906,60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447 906,60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447 906,60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01.1.02.73070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447 906,60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447 906,60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447 906,60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01.1.02.73140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1 903,60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1 903,60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1 903,60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01.1.02.73140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1 903,60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1 903,60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1 903,60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01.1.02.73180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3 285,40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3 285,40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3 255,50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01.1.02.73180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3 285,40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3 285,40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3 255,50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01.1.02.L3040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35 009,42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35 009,42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36 286,72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01.1.02.L3040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35 009,42</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35 009,42</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36 286,72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2 154,52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2 154,52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2 154,52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7 885,20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7 885,20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8 874,40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24 969,70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24 969,70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25 257,80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01.1.02.S2490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11 499,24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11 499,24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11 882,34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01.1.02.S2490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11 499,24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11 499,24</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11 882,34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1 643,24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1 643,24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1 643,24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9 856,00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9 856,00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10 239,10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Федеральный проект «Успех каждого ребенка»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01.1.E2.00000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01.1.E2.50980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01.1.E2.50980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3 000,00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1 440,00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«Ресурсное обеспечение сферы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01.5.00.00000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18 577,37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16 041,17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16 041,17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«Создание условий и укрепление материальной базы в образовательных организациях»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01.5.01.00000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18 577,37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16 041,17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16 041,17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01.5.01.00590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6 750,00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6 750,00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01.5.01.00590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6 750,00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6 750,00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реализацию проектов школьного инициативного бюджетирования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01.5.01.43950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01.5.01.43950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капитальный ремонт образовательных организаций, реализующих общеобразовательные программы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01.5.01.S2180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11 327,37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8 791,17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8 791,17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01.5.01.S2180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11 327,37</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8 791,17</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8 791,17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566,37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566,37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566,37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10 761,00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8 224,80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8 224,80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12 044,60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12 044,60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12 044,60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12 044,60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12 044,60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12 044,60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«Проведение мероприятий по усилению антитеррористической защищенности образовательных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12.3.01.00000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12 044,60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12 044,60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12 044,60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реализацию мероприятий по исполнению требований по антитеррористической защищенности объектов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12.3.01.S2250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12 044,60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12 044,60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12 044,60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12.3.01.S2250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12 044,60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12 044,60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12 044,60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6 022,30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6 022,30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6 022,30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6 022,30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6 022,30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6 022,30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Дополнительное образование детей</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33 697,75</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33 357,30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33 357,30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33 697,75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33 357,30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33 357,30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дополнительного образования и воспитания детей и молодежи»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33 697,75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33 357,30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33 357,30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26 227,11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33 357,30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33 357,30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26 227,11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33 357,30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33 357,30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26 227,11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33 357,30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33 357,30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Федеральный проект «Успех каждого ребенка»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01.2.E2.00000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7 470,64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01.2.E2.00590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520,80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01.2.E2.00590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520,80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01.2.E2.00591</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6 100,71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01.2.E2.00591</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6 100,71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в рамках системы персонифицированного финансирования дополнительного образования детей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01.2.E2.49840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849,13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01.2.E2.49840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636,85</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01.2.E2.49840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212,28</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Молодежная политика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12 319,70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12 519,37</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12 519,37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12 309,55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12 509,22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12 509,22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дополнительного образования и воспитания детей и молодежи»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11 203,22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11 402,89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11 402,89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отдыха и оздоровления детей»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11 203,22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11 402,89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11 402,89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01.2.02.00590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8 371,50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8 571,17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8 571,17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8 371,50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8 571,17</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8 571,17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по осуществлению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01.2.02.45170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964,02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964,02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01.2.02.45170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964,02</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964,02</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01.2.02.73320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1 867,70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1 867,70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1 867,70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01.2.02.73320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1 867,70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1 867,70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1 867,70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«Организация и проведение мероприятий»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01.4.00.00000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106,33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106,33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и проведение мероприятий с воспитанниками, обучающимися и молодежью»</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01.4.01.00000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106,33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106,33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01.4.01.00590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106,33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106,33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01.4.01.00590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106,33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106,33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«Ресурсное обеспечение сферы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01.5.00.00000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«Создание условий и укрепление материальной базы в образовательных организациях»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01.5.01.00000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01.5.01.00590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01.5.01.00590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10,15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10,15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12.5.00.00000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10,15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10,15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12.5.01.00000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10,15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10,15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12.5.01.00590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10,15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10,15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12.5.01.00590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10,15</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10,15</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Другие вопросы в области образования</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46 916,81</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48 844,16</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48 844,16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46 916,81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48 844,16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48 844,16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системы оценки качества образования и обеспечение деятельности системы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36 628,54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38 254,51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38 254,51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«Развитие системы оценки качества образования обеспечение деятельности системы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01.3.01.00000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36 628,54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38 254,51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38 254,51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01.3.01.00590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36 628,54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38 254,51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38 254,51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01.3.01.00590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33 896,09</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35 522,06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35 522,06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01.3.01.00590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2 723,02</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2 723,02</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2 723,02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01.3.01.00590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9,43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9,43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«Обеспечение реализации муниципальной программы»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01.6.00.00000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10 288,27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10 589,65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10 589,65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аппарата 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01.6.01.00000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10 288,27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10 589,65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10 589,65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функций органов местного самоуправления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01.6.01.00190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6 327,77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6 629,15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6 629,15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01.6.01.00190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6 284,21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6 585,59</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6 585,59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01.6.01.00190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43,56</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43,56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01.6.01.73010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1 687,00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1 687,00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01.6.01.73010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1 658,50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1 658,50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1 658,50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01.6.01.73010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28,50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28,50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01.6.01.73950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2 273,50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2 273,50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2 273,50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01.6.01.73950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2 217,60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2 217,60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2 217,60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01.6.01.73950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55,90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55,90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СОЦИАЛЬНАЯ ПОЛИТИКА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12 556,80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12 556,80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12 556,80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Охрана семьи и детства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12 556,80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12 556,80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12 556,80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12 556,80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12 556,80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12 556,80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общего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12 556,80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12 556,80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12 556,80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условий развития дошкольного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12 556,80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12 556,80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12 556,80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01.1.01.73110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12 556,80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12 556,80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12 556,80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01.1.01.73110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185,60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185,60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185,60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01.1.01.73110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12 371,20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12 371,20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12 371,20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УПРАВЛЕНИЕ КУЛЬТУРЫ АДМИНИСТРАЦИИ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162 102,21</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162 929,22</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162 714,92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НАЦИОНАЛЬНАЯ ЭКОНОМИКА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281,89</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281,89</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281,89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Связь и информатика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281,89</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281,89</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281,89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281,89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281,89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281,89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281,89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исполнения бюджета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07.1.05.00000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281,89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281,89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в области информационных технологий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07.1.05.45130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281,89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281,89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07.1.05.45130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281,89</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281,89</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281,89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ОБРАЗОВАНИЕ</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45 969,75</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46 430,54</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46 430,54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Дополнительное образование детей</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45 969,75</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46 430,54</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46 430,54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44 529,75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44 990,54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44 990,54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«Предоставление дополнительного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04.4.00.00000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44 529,75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44 990,54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44 990,54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деятельности (оказание услуг) подведомственных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04.4.01.00000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44 529,75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44 990,54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44 990,54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04.4.01.00590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44 529,75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44 990,54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44 990,54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04.4.01.00590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44 529,75</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44 990,54</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44 990,54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1 440,00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1 440,00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1 440,00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1 440,00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«Проведение мероприятий по усилению антитеррористической защищенности образовательных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12.3.01.00000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1 440,00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1 440,00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12.3.01.00590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1 440,00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1 440,00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12.3.01.00590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1 440,00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1 440,00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КУЛЬТУРА, КИНЕМАТОГРАФИЯ</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115 790,25</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116 156,47</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115 942,17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Культура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107 807,92</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107 807,92</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107 593,62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259,92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259,92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«Семья»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57,77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57,77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«Проведение мероприятий, направленных на пропаганду семейного образа жизни»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57,77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57,77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57,77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57,77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02.1.01.00590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57,77</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57,77</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«Формирование доступной для инвалидов среды жизнедеятельности»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02.5.00.00000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202,15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202,15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«Адаптация учреждений спорта, культуры,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02.5.01.00000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202,15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202,15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02.5.01.00590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202,15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202,15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02.5.01.00590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202,15</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202,15</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107 385,91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107 385,91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107 171,61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«Библиотечное обслуживание населения»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27 305,37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27 305,37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27 305,37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деятельности (оказание услуг) подведомственных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27 305,37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27 305,37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27 305,37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04.1.01.00590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27 305,37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27 305,37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27 305,37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04.1.01.00590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27 305,37</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27 305,37</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27 305,37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«Организация досуга и предоставление услуг учреждениями культуры»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76 650,78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76 650,78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76 436,48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деятельности (оказание услуг) подведомственных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04.2.01.00000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72 112,61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72 112,61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72 112,61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04.2.01.00590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72 112,61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72 112,61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72 112,61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04.2.01.00590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72 112,61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72 112,61</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72 112,61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и проведение государственных праздников и общественно значимых мероприятий»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04.2.02.00000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2 387,54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2 387,54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04.2.02.00590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2 387,54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2 387,54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04.2.02.00590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2 387,54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2 387,54</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«Сохранение и развитие материально-технической базы учреждений культуры»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04.2.03.00000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1 940,43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1 940,43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04.2.03.00590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04.2.03.00590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развития и укрепления материально-технической базы муниципальных домов культуры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04.2.03.L4670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940,43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940,43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04.2.03.L4670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940,43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940,43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53,23</w:t>
            </w:r>
          </w:p>
        </w:tc>
        <w:tc>
          <w:tcPr>
            <w:tcW w:w="433" w:type="pct"/>
            <w:shd w:val="clear" w:color="auto" w:fill="auto"/>
            <w:noWrap/>
            <w:tcMar>
              <w:left w:w="28" w:type="dxa"/>
              <w:right w:w="28" w:type="dxa"/>
            </w:tcMar>
            <w:vAlign w:val="bottom"/>
          </w:tcPr>
          <w:p>
            <w:pPr>
              <w:autoSpaceDE/>
              <w:autoSpaceDN/>
              <w:jc w:val="right"/>
              <w:rPr>
                <w:sz w:val="18"/>
                <w:szCs w:val="18"/>
              </w:rPr>
            </w:pPr>
            <w:r>
              <w:rPr>
                <w:sz w:val="18"/>
                <w:szCs w:val="18"/>
              </w:rPr>
              <w:t>53,23</w:t>
            </w:r>
          </w:p>
        </w:tc>
        <w:tc>
          <w:tcPr>
            <w:tcW w:w="492" w:type="pct"/>
            <w:shd w:val="clear" w:color="auto" w:fill="auto"/>
            <w:noWrap/>
            <w:tcMar>
              <w:left w:w="28" w:type="dxa"/>
              <w:right w:w="28" w:type="dxa"/>
            </w:tcMar>
            <w:vAlign w:val="bottom"/>
          </w:tcPr>
          <w:p>
            <w:pPr>
              <w:autoSpaceDE/>
              <w:autoSpaceDN/>
              <w:jc w:val="right"/>
              <w:rPr>
                <w:sz w:val="18"/>
                <w:szCs w:val="18"/>
              </w:rPr>
            </w:pPr>
            <w:r>
              <w:rPr>
                <w:sz w:val="18"/>
                <w:szCs w:val="18"/>
              </w:rPr>
              <w:t>53,23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212,90</w:t>
            </w:r>
          </w:p>
        </w:tc>
        <w:tc>
          <w:tcPr>
            <w:tcW w:w="433" w:type="pct"/>
            <w:shd w:val="clear" w:color="auto" w:fill="auto"/>
            <w:noWrap/>
            <w:tcMar>
              <w:left w:w="28" w:type="dxa"/>
              <w:right w:w="28" w:type="dxa"/>
            </w:tcMar>
            <w:vAlign w:val="bottom"/>
          </w:tcPr>
          <w:p>
            <w:pPr>
              <w:autoSpaceDE/>
              <w:autoSpaceDN/>
              <w:jc w:val="right"/>
              <w:rPr>
                <w:sz w:val="18"/>
                <w:szCs w:val="18"/>
              </w:rPr>
            </w:pPr>
            <w:r>
              <w:rPr>
                <w:sz w:val="18"/>
                <w:szCs w:val="18"/>
              </w:rPr>
              <w:t>212,90</w:t>
            </w:r>
          </w:p>
        </w:tc>
        <w:tc>
          <w:tcPr>
            <w:tcW w:w="492" w:type="pct"/>
            <w:shd w:val="clear" w:color="auto" w:fill="auto"/>
            <w:noWrap/>
            <w:tcMar>
              <w:left w:w="28" w:type="dxa"/>
              <w:right w:w="28" w:type="dxa"/>
            </w:tcMar>
            <w:vAlign w:val="bottom"/>
          </w:tcPr>
          <w:p>
            <w:pPr>
              <w:autoSpaceDE/>
              <w:autoSpaceDN/>
              <w:jc w:val="right"/>
              <w:rPr>
                <w:sz w:val="18"/>
                <w:szCs w:val="18"/>
              </w:rPr>
            </w:pPr>
            <w:r>
              <w:rPr>
                <w:sz w:val="18"/>
                <w:szCs w:val="18"/>
              </w:rPr>
              <w:t>229,60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674,30</w:t>
            </w:r>
          </w:p>
        </w:tc>
        <w:tc>
          <w:tcPr>
            <w:tcW w:w="433" w:type="pct"/>
            <w:shd w:val="clear" w:color="auto" w:fill="auto"/>
            <w:noWrap/>
            <w:tcMar>
              <w:left w:w="28" w:type="dxa"/>
              <w:right w:w="28" w:type="dxa"/>
            </w:tcMar>
            <w:vAlign w:val="bottom"/>
          </w:tcPr>
          <w:p>
            <w:pPr>
              <w:autoSpaceDE/>
              <w:autoSpaceDN/>
              <w:jc w:val="right"/>
              <w:rPr>
                <w:sz w:val="18"/>
                <w:szCs w:val="18"/>
              </w:rPr>
            </w:pPr>
            <w:r>
              <w:rPr>
                <w:sz w:val="18"/>
                <w:szCs w:val="18"/>
              </w:rPr>
              <w:t>674,30</w:t>
            </w:r>
          </w:p>
        </w:tc>
        <w:tc>
          <w:tcPr>
            <w:tcW w:w="492" w:type="pct"/>
            <w:shd w:val="clear" w:color="auto" w:fill="auto"/>
            <w:noWrap/>
            <w:tcMar>
              <w:left w:w="28" w:type="dxa"/>
              <w:right w:w="28" w:type="dxa"/>
            </w:tcMar>
            <w:vAlign w:val="bottom"/>
          </w:tcPr>
          <w:p>
            <w:pPr>
              <w:autoSpaceDE/>
              <w:autoSpaceDN/>
              <w:jc w:val="right"/>
              <w:rPr>
                <w:sz w:val="18"/>
                <w:szCs w:val="18"/>
              </w:rPr>
            </w:pPr>
            <w:r>
              <w:rPr>
                <w:sz w:val="18"/>
                <w:szCs w:val="18"/>
              </w:rPr>
              <w:t>653,50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Федеральный проект «Культурная среда»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04.2.A1.00000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210,20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210,20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поддержку отрасли культуры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04.2.A1.55190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210,20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210,20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04.2.A1.55190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210,20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210,20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11,90</w:t>
            </w:r>
          </w:p>
        </w:tc>
        <w:tc>
          <w:tcPr>
            <w:tcW w:w="433" w:type="pct"/>
            <w:shd w:val="clear" w:color="auto" w:fill="auto"/>
            <w:noWrap/>
            <w:tcMar>
              <w:left w:w="28" w:type="dxa"/>
              <w:right w:w="28" w:type="dxa"/>
            </w:tcMar>
            <w:vAlign w:val="bottom"/>
          </w:tcPr>
          <w:p>
            <w:pPr>
              <w:autoSpaceDE/>
              <w:autoSpaceDN/>
              <w:jc w:val="right"/>
              <w:rPr>
                <w:sz w:val="18"/>
                <w:szCs w:val="18"/>
              </w:rPr>
            </w:pPr>
            <w:r>
              <w:rPr>
                <w:sz w:val="18"/>
                <w:szCs w:val="18"/>
              </w:rPr>
              <w:t>11,90</w:t>
            </w:r>
          </w:p>
        </w:tc>
        <w:tc>
          <w:tcPr>
            <w:tcW w:w="492" w:type="pct"/>
            <w:shd w:val="clear" w:color="auto" w:fill="auto"/>
            <w:noWrap/>
            <w:tcMar>
              <w:left w:w="28" w:type="dxa"/>
              <w:right w:w="28" w:type="dxa"/>
            </w:tcMar>
            <w:vAlign w:val="bottom"/>
          </w:tcPr>
          <w:p>
            <w:pPr>
              <w:autoSpaceDE/>
              <w:autoSpaceDN/>
              <w:jc w:val="right"/>
              <w:rPr>
                <w:sz w:val="18"/>
                <w:szCs w:val="18"/>
              </w:rPr>
            </w:pPr>
            <w:r>
              <w:rPr>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47,60</w:t>
            </w:r>
          </w:p>
        </w:tc>
        <w:tc>
          <w:tcPr>
            <w:tcW w:w="433" w:type="pct"/>
            <w:shd w:val="clear" w:color="auto" w:fill="auto"/>
            <w:noWrap/>
            <w:tcMar>
              <w:left w:w="28" w:type="dxa"/>
              <w:right w:w="28" w:type="dxa"/>
            </w:tcMar>
            <w:vAlign w:val="bottom"/>
          </w:tcPr>
          <w:p>
            <w:pPr>
              <w:autoSpaceDE/>
              <w:autoSpaceDN/>
              <w:jc w:val="right"/>
              <w:rPr>
                <w:sz w:val="18"/>
                <w:szCs w:val="18"/>
              </w:rPr>
            </w:pPr>
            <w:r>
              <w:rPr>
                <w:sz w:val="18"/>
                <w:szCs w:val="18"/>
              </w:rPr>
              <w:t>47,60</w:t>
            </w:r>
          </w:p>
        </w:tc>
        <w:tc>
          <w:tcPr>
            <w:tcW w:w="492" w:type="pct"/>
            <w:shd w:val="clear" w:color="auto" w:fill="auto"/>
            <w:noWrap/>
            <w:tcMar>
              <w:left w:w="28" w:type="dxa"/>
              <w:right w:w="28" w:type="dxa"/>
            </w:tcMar>
            <w:vAlign w:val="bottom"/>
          </w:tcPr>
          <w:p>
            <w:pPr>
              <w:autoSpaceDE/>
              <w:autoSpaceDN/>
              <w:jc w:val="right"/>
              <w:rPr>
                <w:sz w:val="18"/>
                <w:szCs w:val="18"/>
              </w:rPr>
            </w:pPr>
            <w:r>
              <w:rPr>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150,70</w:t>
            </w:r>
          </w:p>
        </w:tc>
        <w:tc>
          <w:tcPr>
            <w:tcW w:w="433" w:type="pct"/>
            <w:shd w:val="clear" w:color="auto" w:fill="auto"/>
            <w:noWrap/>
            <w:tcMar>
              <w:left w:w="28" w:type="dxa"/>
              <w:right w:w="28" w:type="dxa"/>
            </w:tcMar>
            <w:vAlign w:val="bottom"/>
          </w:tcPr>
          <w:p>
            <w:pPr>
              <w:autoSpaceDE/>
              <w:autoSpaceDN/>
              <w:jc w:val="right"/>
              <w:rPr>
                <w:sz w:val="18"/>
                <w:szCs w:val="18"/>
              </w:rPr>
            </w:pPr>
            <w:r>
              <w:rPr>
                <w:sz w:val="18"/>
                <w:szCs w:val="18"/>
              </w:rPr>
              <w:t>150,70</w:t>
            </w:r>
          </w:p>
        </w:tc>
        <w:tc>
          <w:tcPr>
            <w:tcW w:w="492" w:type="pct"/>
            <w:shd w:val="clear" w:color="auto" w:fill="auto"/>
            <w:noWrap/>
            <w:tcMar>
              <w:left w:w="28" w:type="dxa"/>
              <w:right w:w="28" w:type="dxa"/>
            </w:tcMar>
            <w:vAlign w:val="bottom"/>
          </w:tcPr>
          <w:p>
            <w:pPr>
              <w:autoSpaceDE/>
              <w:autoSpaceDN/>
              <w:jc w:val="right"/>
              <w:rPr>
                <w:sz w:val="18"/>
                <w:szCs w:val="18"/>
              </w:rPr>
            </w:pPr>
            <w:r>
              <w:rPr>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«Музейное обслуживание населения»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3 429,76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3 429,76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3 429,76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деятельности (оказание услуг) подведомственных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04.3.01.00000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3 429,76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3 429,76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3 429,76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04.3.01.00590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3 429,76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3 429,76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3 429,76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04.3.01.00590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3 429,76</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3 429,76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3 429,76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152,09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152,09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12.5.00.00000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152,09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152,09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12.5.01.00000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6,81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6,81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12.5.01.00590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6,81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6,81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12.5.01.00590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6,81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6,81</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12.5.02.00000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15,21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15,21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12.5.02.00590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15,21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15,21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12.5.02.00590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15,21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15,21</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досуга детей, подростков, молодежи»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12.5.03.00000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78,44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78,44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12.5.03.00590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78,44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78,44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12.5.03.00590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78,44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78,44</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и проведение фестивалей авторской песни»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12.5.04.00000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51,63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51,63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12.5.04.00590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51,63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51,63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12.5.04.00590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51,63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51,63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17.0.00.00000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17.3.00.00000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«Разработка программ энергосбережения муниципальными учреждениями»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17.3.01.00000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17.3.01.00590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17.3.01.00590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Другие вопросы в области культуры, кинематографии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7 982,33</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8 348,55</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8 348,55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7 982,33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8 348,55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8 348,55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«Реализация мероприятий, направленных на обеспечение деятельности подведомственных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04.5.00.00000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5 116,50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5 345,28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5 345,28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04.5.01.00000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5 116,50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5 345,28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5 345,28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04.5.01.00590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5 116,50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5 345,28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5 345,28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04.5.01.00590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4 769,66</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4 998,44</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4 998,44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04.5.01.00590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346,84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346,84</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346,84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«Обеспечение реализации муниципальной программы»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04.6.00.00000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2 865,83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3 003,27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аппарата 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04.6.01.00000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2 865,83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3 003,27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функций органов местного самоуправления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04.6.01.00190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2 865,83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3 003,27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04.6.01.00190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2 865,83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3 003,27</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СОЦИАЛЬНАЯ ПОЛИТИКА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60,32</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60,32</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Другие вопросы в области социальной политики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60,32</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60,32</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60,32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60,32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«Семья»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«Проведение мероприятий, направленных на пропаганду семейного образа жизни»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02.1.01.00590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12,15</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12,15</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«Старшее поколение»</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004</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02.2.01.00590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48,17</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48,17</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СОВЕТ ДЕПУТАТОВ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006</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3 751,40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3 909,90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3 909,90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ОБЩЕГОСУДАРСТВЕННЫЕ ВОПРОСЫ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006</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3 751,40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3 909,90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3 909,90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006</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3 751,40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3 909,90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3 909,90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006</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3 751,40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3 909,90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3 909,90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направления деятельности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006</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3 751,40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3 909,90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3 909,90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аппарата 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006</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3 751,40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3 909,90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3 909,90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функций органов местного самоуправления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006</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99.9.01.00190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3 751,40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3 909,90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3 909,90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006</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3 303,89</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3 462,39</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3 462,39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006</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447,51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447,51</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447,51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УПРАВЛЕНИЕ СЕЛЬСКОГО ХОЗЯЙСТВА АДМИНИСТРАЦИИ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130 205,96</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135 037,18</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135 343,88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НАЦИОНАЛЬНАЯ ЭКОНОМИКА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130 205,96</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135 037,18</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135 343,88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Сельское хозяйство и рыболовство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130 205,96</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135 037,18</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135 343,88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130 205,96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135 037,18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135 343,88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120 742,27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127 031,77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127 338,47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«Развитие растениеводства»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23 994,10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25 703,30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26 157,50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стимулирование увеличения производства картофеля и овощей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06.1.01.R0140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10 297,10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10 297,10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10 578,40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06.1.01.R0140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10 297,10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10 297,10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10 578,40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2 468,60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2 468,60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2 749,90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7 828,50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7 828,50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7 828,50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возмещение производителям зерновых культур части затрат на производство и реализацию зерновых культур</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06.1.01.R3580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3 367,90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3 459,00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06.1.01.R3580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3 367,90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3 459,00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808,30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899,40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2 559,60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2 559,60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возмещение производителям зерновых культур части затрат на производство и реализацию зерновых культур</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06.1.01.R3680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2 925,60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06.1.01.R3680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2 925,60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146,30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2 779,30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стимулирование развития приоритетных подотраслей агропромышленного комплекса и развитие малых форм хозяйствования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06.1.01.R5020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4 231,40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5 498,30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5 498,30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06.1.01.R5020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4 231,40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5 498,30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5 498,30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4 231,40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5 498,30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5 498,30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поддержку сельскохозяйственного производства по отдельным подотраслям растениеводства и животноводства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06.1.01.R5080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6 540,00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6 540,00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6 621,80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06.1.01.R5080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6 540,00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6 540,00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6 621,80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4 240,30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4 240,30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4 321,90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2 299,70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2 299,70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2 299,90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«Развитие животноводства»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82 544,00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84 711,90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86 227,30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стимулирование развития приоритетных подотраслей агропромышленного комплекса и развитие малых форм хозяйствования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06.1.02.R5020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50 980,40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50 980,40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51 859,00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06.1.02.R5020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50 980,40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50 980,40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51 859,00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26 271,60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26 271,60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27 150,30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24 708,80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24 708,80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24 708,70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поддержку сельскохозяйственного производства по отдельным подотраслям растениеводства и животноводства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06.1.02.R5080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31 563,60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33 731,50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34 368,30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06.1.02.R5080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31 563,60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33 731,50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34 368,30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16 142,90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18 310,80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18 882,20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15 420,70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15 420,70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15 486,10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82,90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возмещение части затрат на уплату процентов по инвестиционным кредитам (займам) в агропромышленном комплексе</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06.1.03.R4330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82,90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06.1.03.R4330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82,90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32,80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50,10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«Развитие малых и средних форм хозяйствования»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06.1.04.49810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06.1.04.49810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«Муниципальный контроль и мониторинг использования земель сельскохозяйственного назначения»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06.1.05.00000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36,06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36,06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в области сельского хозяйства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06.1.05.45430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36,06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36,06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06.1.05.45430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36,06</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36,06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«Управление рисками в отраслях сельскохозяйственного производства»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06.1.06.00000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820,90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820,90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820,90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06.1.06.73310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536,20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536,20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536,20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06.1.06.73310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536,20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536,20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536,20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06.1.06.73400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284,70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284,70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06.1.06.73400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284,70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284,70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«Кадровое обеспечение АПК Богородского округа»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06.1.07.00000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363,41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363,41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в области сельского хозяйства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06.1.07.45430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363,41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363,41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06.1.07.45430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11,81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11,81</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06.1.07.45430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351,60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351,60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«Техническое переоснащение агропромышленного комплекса»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06.1.08.00000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11 900,90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14 396,20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12 733,30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возмещение части затрат на приобретение оборудования и техники 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06.1.08.73220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11 900,90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14 396,20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12 733,30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06.1.08.73220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11 900,90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14 396,20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12 733,30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«Обеспечение реализации муниципальной программы»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9 463,69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8 005,41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8 005,41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аппарата 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06.3.01.00000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9 463,69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8 005,41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8 005,41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функций органов местного самоуправления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06.3.01.00190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883,79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925,51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925,51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06.3.01.00190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871,08</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912,80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06.3.01.00190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12,71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12,71</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осуществление государственных полномочий по поддержке сельскохозяйственного производства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06.3.01.73910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8 579,90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7 079,90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7 079,90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06.3.01.73910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6 409,10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6 409,10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6 409,10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007</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06.3.01.73910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2 170,80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670,80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670,80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УПРАВЛЕНИЕ КАПИТАЛЬНОГО СТРОИТЕЛЬСТВА И ГРАДОСТРОИТЕЛЬНОЙ ДЕЯТЕЛЬНОСТИ АДМИНИСТРАЦИИ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158 406,48</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66 823,64</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14 510,54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НАЦИОНАЛЬНАЯ ЭКОНОМИКА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33 254,56</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12 767,32</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12 767,32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Дорожное хозяйство (дорожные фонды)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21 057,69</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12 748,09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12 748,09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03.2.02.00000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12 748,09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03.2.02.44440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12 748,09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Капитальные вложения в объекты государственной (муниципальной) собственности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03.2.02.44440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400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12 748,09</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8 309,60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8 309,60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«Строительство автомобильных дорог»</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10.1.02.00000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8 309,60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на строительство объектов скоростного внеуличного транспорта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10.1.02.S2200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8 309,60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Капитальные вложения в объекты государственной (муниципальной) собственности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10.1.02.S2200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400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8 309,60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83,10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8 226,50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Связь и информатика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48,13</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48,13</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исполнения бюджета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07.1.05.00000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в области информационных технологий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07.1.05.45130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07.1.05.45130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48,13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48,13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Другие вопросы в области национальной экономики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12 148,74</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12 719,19</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12 719,19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12 148,74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12 719,19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12 719,19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направления деятельности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12 148,74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12 719,19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12 719,19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аппарата 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3 624,38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3 798,26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3 798,26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функций органов местного самоуправления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99.9.01.00190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3 624,38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3 798,26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3 798,26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3 624,38</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3 798,26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3 798,26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8 524,36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8 920,93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8 920,93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99.9.02.00590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8 524,36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8 920,93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8 920,93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8 268,50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8 665,07</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8 665,07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255,86</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255,86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ЖИЛИЩНО-КОММУНАЛЬНОЕ ХОЗЯЙСТВО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123 365,62</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53 051,02</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Жилищное хозяйство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2 284,40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2 284,40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«Переселение граждан из аварийного жилищного фонда на территории Богородского муниципального округа Нижегородской области , в том числе с учетом необходимости развития малоэтажного жилищного строительства»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2 284,40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«Переселение граждан из аварийного жилищного фонда»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03.3.01.00000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2 284,40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на снос расселенных многоквартирных жилых домов в муниципальных образованиях Нижегородской области, признанных аварийными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03.3.01.S2120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2 284,40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03.3.01.S2120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2 284,40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456,90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1 827,50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Коммунальное хозяйство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123 365,62</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50 766,62</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107 599,00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«Устойчивое развитие сельских территорий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107 599,00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06.2.01.00000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107 599,00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реализацию мероприятий в рамках адресной инвестиционной программы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06.2.01.S2450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107 599,00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Капитальные вложения в объекты государственной (муниципальной) собственности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06.2.01.S2450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400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107 599,00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val="0"/>
            <w:tcMar>
              <w:left w:w="28" w:type="dxa"/>
              <w:right w:w="28" w:type="dxa"/>
            </w:tcMar>
            <w:vAlign w:val="center"/>
          </w:tcPr>
          <w:p>
            <w:pPr>
              <w:autoSpaceDE/>
              <w:autoSpaceDN/>
              <w:jc w:val="right"/>
              <w:rPr>
                <w:sz w:val="18"/>
                <w:szCs w:val="18"/>
              </w:rPr>
            </w:pPr>
            <w:r>
              <w:rPr>
                <w:sz w:val="18"/>
                <w:szCs w:val="18"/>
              </w:rPr>
              <w:t>21 519,80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rPr>
                <w:sz w:val="18"/>
                <w:szCs w:val="18"/>
              </w:rPr>
            </w:pPr>
            <w:r>
              <w:rPr>
                <w:sz w:val="18"/>
                <w:szCs w:val="18"/>
              </w:rPr>
              <w:t xml:space="preserve"> Распределительные газопроводы высокого и низкого давления по улицам и газопроводы-вводы к жилым домам в д. Касаниха Богородского района Нижегородской области </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val="0"/>
            <w:tcMar>
              <w:left w:w="28" w:type="dxa"/>
              <w:right w:w="28" w:type="dxa"/>
            </w:tcMar>
            <w:vAlign w:val="bottom"/>
          </w:tcPr>
          <w:p>
            <w:pPr>
              <w:autoSpaceDE/>
              <w:autoSpaceDN/>
              <w:jc w:val="right"/>
              <w:rPr>
                <w:sz w:val="18"/>
                <w:szCs w:val="18"/>
              </w:rPr>
            </w:pPr>
            <w:r>
              <w:rPr>
                <w:sz w:val="18"/>
                <w:szCs w:val="18"/>
              </w:rPr>
              <w:t>2 854,00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rPr>
                <w:sz w:val="18"/>
                <w:szCs w:val="18"/>
              </w:rPr>
            </w:pPr>
            <w:r>
              <w:rPr>
                <w:sz w:val="18"/>
                <w:szCs w:val="18"/>
              </w:rPr>
              <w:t xml:space="preserve"> Распределительные газопроводы высокого и низкого давления по улицам и газопроводы-вводы к жилым домам в д. Лом Богородского района Нижегородской области </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val="0"/>
            <w:tcMar>
              <w:left w:w="28" w:type="dxa"/>
              <w:right w:w="28" w:type="dxa"/>
            </w:tcMar>
            <w:vAlign w:val="bottom"/>
          </w:tcPr>
          <w:p>
            <w:pPr>
              <w:autoSpaceDE/>
              <w:autoSpaceDN/>
              <w:jc w:val="right"/>
              <w:rPr>
                <w:sz w:val="18"/>
                <w:szCs w:val="18"/>
              </w:rPr>
            </w:pPr>
            <w:r>
              <w:rPr>
                <w:sz w:val="18"/>
                <w:szCs w:val="18"/>
              </w:rPr>
              <w:t>3 445,10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rPr>
                <w:sz w:val="18"/>
                <w:szCs w:val="18"/>
              </w:rPr>
            </w:pPr>
            <w:r>
              <w:rPr>
                <w:sz w:val="18"/>
                <w:szCs w:val="18"/>
              </w:rPr>
              <w:t>Межпоселковый газопровод. Распределительные газопроводы д.Килелей. Распределителньые газопроводы п.Красный Кирпичник, СНТ «Полиграфист». Газопроводы-вводы к жилым домам д.Килелей, п.Красный Кирпичник, СНТ «Полиграфист» Богородского района Нижегородской области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val="0"/>
            <w:tcMar>
              <w:left w:w="28" w:type="dxa"/>
              <w:right w:w="28" w:type="dxa"/>
            </w:tcMar>
            <w:vAlign w:val="bottom"/>
          </w:tcPr>
          <w:p>
            <w:pPr>
              <w:autoSpaceDE/>
              <w:autoSpaceDN/>
              <w:jc w:val="right"/>
              <w:rPr>
                <w:sz w:val="18"/>
                <w:szCs w:val="18"/>
              </w:rPr>
            </w:pPr>
            <w:r>
              <w:rPr>
                <w:sz w:val="18"/>
                <w:szCs w:val="18"/>
              </w:rPr>
              <w:t>9 005,70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rPr>
                <w:sz w:val="18"/>
                <w:szCs w:val="18"/>
              </w:rPr>
            </w:pPr>
            <w:r>
              <w:rPr>
                <w:sz w:val="18"/>
                <w:szCs w:val="18"/>
              </w:rPr>
              <w:t xml:space="preserve"> Распределительные газопроводы низкого давления и газопроводы-вводы к жилым домам в с. Алистеево, д. Чижково, д. Куликово Богородского района Ниже-городской области </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val="0"/>
            <w:tcMar>
              <w:left w:w="28" w:type="dxa"/>
              <w:right w:w="28" w:type="dxa"/>
            </w:tcMar>
            <w:vAlign w:val="bottom"/>
          </w:tcPr>
          <w:p>
            <w:pPr>
              <w:autoSpaceDE/>
              <w:autoSpaceDN/>
              <w:jc w:val="right"/>
              <w:rPr>
                <w:sz w:val="18"/>
                <w:szCs w:val="18"/>
              </w:rPr>
            </w:pPr>
            <w:r>
              <w:rPr>
                <w:sz w:val="18"/>
                <w:szCs w:val="18"/>
              </w:rPr>
              <w:t>3 417,70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rPr>
                <w:sz w:val="18"/>
                <w:szCs w:val="18"/>
              </w:rPr>
            </w:pPr>
            <w:r>
              <w:rPr>
                <w:sz w:val="18"/>
                <w:szCs w:val="18"/>
              </w:rPr>
              <w:t xml:space="preserve"> Межпоселковый газопровод до п. Комсомольский. Распределительные газопроводы п. Комсомольский. Распределительные газопроводы ТСН «Лисьи Ямкм-1». Газопроводы -вводы в п. Комсомольский и ТСН «Лисьи Ямки-1» Богородского района </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val="0"/>
            <w:tcMar>
              <w:left w:w="28" w:type="dxa"/>
              <w:right w:w="28" w:type="dxa"/>
            </w:tcMar>
            <w:vAlign w:val="bottom"/>
          </w:tcPr>
          <w:p>
            <w:pPr>
              <w:autoSpaceDE/>
              <w:autoSpaceDN/>
              <w:jc w:val="right"/>
              <w:rPr>
                <w:sz w:val="18"/>
                <w:szCs w:val="18"/>
              </w:rPr>
            </w:pPr>
            <w:r>
              <w:rPr>
                <w:sz w:val="18"/>
                <w:szCs w:val="18"/>
              </w:rPr>
              <w:t>2 797,30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86 079,20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rPr>
                <w:sz w:val="18"/>
                <w:szCs w:val="18"/>
              </w:rPr>
            </w:pPr>
            <w:r>
              <w:rPr>
                <w:sz w:val="18"/>
                <w:szCs w:val="18"/>
              </w:rPr>
              <w:t xml:space="preserve"> Распределительные газопроводы высокого и низкого давления по улицам и газопроводы-вводы к жилым домам в д. Касаниха Богородского района Нижегородской области </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11 416,00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rPr>
                <w:sz w:val="18"/>
                <w:szCs w:val="18"/>
              </w:rPr>
            </w:pPr>
            <w:r>
              <w:rPr>
                <w:sz w:val="18"/>
                <w:szCs w:val="18"/>
              </w:rPr>
              <w:t xml:space="preserve"> Распределительные газопроводы высокого и низкого давления по улицам и газопроводы-вводы к жилым домам в д. Лом Богородского района Нижегородской области </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13 780,40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rPr>
                <w:sz w:val="18"/>
                <w:szCs w:val="18"/>
              </w:rPr>
            </w:pPr>
            <w:r>
              <w:rPr>
                <w:sz w:val="18"/>
                <w:szCs w:val="18"/>
              </w:rPr>
              <w:t>Межпоселковый газопровод. Распределительные газопроводы д.Килелей. Распределителньые газопроводы п.Красный Кирпичник, СНТ «Полиграфист». Газопроводы-вводы к жилым домам д.Килелей, п.Красный Кирпичник, СНТ «Полиграфист» Богородского района Нижегородской области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36 022,90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rPr>
                <w:sz w:val="18"/>
                <w:szCs w:val="18"/>
              </w:rPr>
            </w:pPr>
            <w:r>
              <w:rPr>
                <w:sz w:val="18"/>
                <w:szCs w:val="18"/>
              </w:rPr>
              <w:t xml:space="preserve"> Распределительные газопроводы низкого давления и газопроводы-вводы к жилым домам в с. Алистеево, д. Чижково, д. Куликово Богородского района Ниже-городской области </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13 670,80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rPr>
                <w:sz w:val="18"/>
                <w:szCs w:val="18"/>
              </w:rPr>
            </w:pPr>
            <w:r>
              <w:rPr>
                <w:sz w:val="18"/>
                <w:szCs w:val="18"/>
              </w:rPr>
              <w:t xml:space="preserve"> Межпоселковый газопровод до п. Комсомольский. Распределительные газопроводы п. Комсомольский. Распределительные газопроводы ТСН «Лисьи Ямкм-1». Газопроводы -вводы в п. Комсомольский и ТСН «Лисьи Ямки-1» Богородского района </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11 189,10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766,62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766,62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766,62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766,62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муниципального имущества»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766,62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766,62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в области прочих мероприятий коммунального хозяйства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08.1.04.49700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766,62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766,62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08.1.04.49700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766,62</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766,62</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коммунальной инфраструктуры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«Строительство, капитальный ремонт, ремонт и реконструкция объектов водоотведения»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11.1.02.00000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Проектирование, строительство, реконструкция объектов муниципальной собственности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11.1.02.44800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Капитальные вложения в объекты государственной (муниципальной) собственности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11.1.02.44800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400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11 000,00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50 000,00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Проектирование, строительство, реконструкция объектов муниципальной собственности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16.1.01.44800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Капитальные вложения в объекты государственной (муниципальной) собственности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16.1.01.44800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400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4 000,00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ОХРАНА ОКРУЖАЮЩЕЙ СРЕДЫ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06</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800,00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Сбор, удаление отходов и очистка сточных вод</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06</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800,00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«Экология»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Федеральный проект «Оздоровление Волги»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11.3.G6.00000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реализацию мероприятий по сокращению доли загрязненных сточных вод</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11.3.G6.50130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Капитальные вложения в объекты государственной (муниципальной) собственности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11.3.G6.50130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400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160,00</w:t>
            </w:r>
          </w:p>
        </w:tc>
        <w:tc>
          <w:tcPr>
            <w:tcW w:w="433" w:type="pct"/>
            <w:shd w:val="clear" w:color="auto" w:fill="auto"/>
            <w:noWrap/>
            <w:tcMar>
              <w:left w:w="28" w:type="dxa"/>
              <w:right w:w="28" w:type="dxa"/>
            </w:tcMar>
            <w:vAlign w:val="bottom"/>
          </w:tcPr>
          <w:p>
            <w:pPr>
              <w:autoSpaceDE/>
              <w:autoSpaceDN/>
              <w:jc w:val="right"/>
              <w:rPr>
                <w:sz w:val="18"/>
                <w:szCs w:val="18"/>
              </w:rPr>
            </w:pPr>
            <w:r>
              <w:rPr>
                <w:sz w:val="18"/>
                <w:szCs w:val="18"/>
              </w:rPr>
              <w:t> </w:t>
            </w:r>
          </w:p>
        </w:tc>
        <w:tc>
          <w:tcPr>
            <w:tcW w:w="492" w:type="pct"/>
            <w:shd w:val="clear" w:color="auto" w:fill="auto"/>
            <w:noWrap/>
            <w:tcMar>
              <w:left w:w="28" w:type="dxa"/>
              <w:right w:w="28" w:type="dxa"/>
            </w:tcMar>
            <w:vAlign w:val="bottom"/>
          </w:tcPr>
          <w:p>
            <w:pPr>
              <w:autoSpaceDE/>
              <w:autoSpaceDN/>
              <w:jc w:val="right"/>
              <w:rPr>
                <w:sz w:val="18"/>
                <w:szCs w:val="18"/>
              </w:rPr>
            </w:pPr>
            <w:r>
              <w:rPr>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160,00</w:t>
            </w:r>
          </w:p>
        </w:tc>
        <w:tc>
          <w:tcPr>
            <w:tcW w:w="433" w:type="pct"/>
            <w:shd w:val="clear" w:color="auto" w:fill="auto"/>
            <w:noWrap/>
            <w:tcMar>
              <w:left w:w="28" w:type="dxa"/>
              <w:right w:w="28" w:type="dxa"/>
            </w:tcMar>
            <w:vAlign w:val="bottom"/>
          </w:tcPr>
          <w:p>
            <w:pPr>
              <w:autoSpaceDE/>
              <w:autoSpaceDN/>
              <w:jc w:val="right"/>
              <w:rPr>
                <w:sz w:val="18"/>
                <w:szCs w:val="18"/>
              </w:rPr>
            </w:pPr>
          </w:p>
        </w:tc>
        <w:tc>
          <w:tcPr>
            <w:tcW w:w="492" w:type="pct"/>
            <w:shd w:val="clear" w:color="auto" w:fill="auto"/>
            <w:noWrap/>
            <w:tcMar>
              <w:left w:w="28" w:type="dxa"/>
              <w:right w:w="28" w:type="dxa"/>
            </w:tcMar>
            <w:vAlign w:val="bottom"/>
          </w:tcPr>
          <w:p>
            <w:pPr>
              <w:autoSpaceDE/>
              <w:autoSpaceDN/>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640,00</w:t>
            </w:r>
          </w:p>
        </w:tc>
        <w:tc>
          <w:tcPr>
            <w:tcW w:w="433" w:type="pct"/>
            <w:shd w:val="clear" w:color="auto" w:fill="auto"/>
            <w:noWrap/>
            <w:tcMar>
              <w:left w:w="28" w:type="dxa"/>
              <w:right w:w="28" w:type="dxa"/>
            </w:tcMar>
            <w:vAlign w:val="bottom"/>
          </w:tcPr>
          <w:p>
            <w:pPr>
              <w:autoSpaceDE/>
              <w:autoSpaceDN/>
              <w:jc w:val="right"/>
              <w:rPr>
                <w:sz w:val="18"/>
                <w:szCs w:val="18"/>
              </w:rPr>
            </w:pPr>
            <w:r>
              <w:rPr>
                <w:sz w:val="18"/>
                <w:szCs w:val="18"/>
              </w:rPr>
              <w:t> </w:t>
            </w:r>
          </w:p>
        </w:tc>
        <w:tc>
          <w:tcPr>
            <w:tcW w:w="492" w:type="pct"/>
            <w:shd w:val="clear" w:color="auto" w:fill="auto"/>
            <w:noWrap/>
            <w:tcMar>
              <w:left w:w="28" w:type="dxa"/>
              <w:right w:w="28" w:type="dxa"/>
            </w:tcMar>
            <w:vAlign w:val="bottom"/>
          </w:tcPr>
          <w:p>
            <w:pPr>
              <w:autoSpaceDE/>
              <w:autoSpaceDN/>
              <w:jc w:val="right"/>
              <w:rPr>
                <w:sz w:val="18"/>
                <w:szCs w:val="18"/>
              </w:rPr>
            </w:pPr>
            <w:r>
              <w:rPr>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640,00</w:t>
            </w:r>
          </w:p>
        </w:tc>
        <w:tc>
          <w:tcPr>
            <w:tcW w:w="433" w:type="pct"/>
            <w:shd w:val="clear" w:color="auto" w:fill="auto"/>
            <w:noWrap/>
            <w:tcMar>
              <w:left w:w="28" w:type="dxa"/>
              <w:right w:w="28" w:type="dxa"/>
            </w:tcMar>
            <w:vAlign w:val="bottom"/>
          </w:tcPr>
          <w:p>
            <w:pPr>
              <w:autoSpaceDE/>
              <w:autoSpaceDN/>
              <w:jc w:val="right"/>
              <w:rPr>
                <w:sz w:val="18"/>
                <w:szCs w:val="18"/>
              </w:rPr>
            </w:pPr>
          </w:p>
        </w:tc>
        <w:tc>
          <w:tcPr>
            <w:tcW w:w="492" w:type="pct"/>
            <w:shd w:val="clear" w:color="auto" w:fill="auto"/>
            <w:noWrap/>
            <w:tcMar>
              <w:left w:w="28" w:type="dxa"/>
              <w:right w:w="28" w:type="dxa"/>
            </w:tcMar>
            <w:vAlign w:val="bottom"/>
          </w:tcPr>
          <w:p>
            <w:pPr>
              <w:autoSpaceDE/>
              <w:autoSpaceDN/>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 </w:t>
            </w:r>
          </w:p>
        </w:tc>
        <w:tc>
          <w:tcPr>
            <w:tcW w:w="433" w:type="pct"/>
            <w:shd w:val="clear" w:color="auto" w:fill="auto"/>
            <w:noWrap/>
            <w:tcMar>
              <w:left w:w="28" w:type="dxa"/>
              <w:right w:w="28" w:type="dxa"/>
            </w:tcMar>
            <w:vAlign w:val="bottom"/>
          </w:tcPr>
          <w:p>
            <w:pPr>
              <w:autoSpaceDE/>
              <w:autoSpaceDN/>
              <w:jc w:val="right"/>
              <w:rPr>
                <w:sz w:val="18"/>
                <w:szCs w:val="18"/>
              </w:rPr>
            </w:pPr>
            <w:r>
              <w:rPr>
                <w:sz w:val="18"/>
                <w:szCs w:val="18"/>
              </w:rPr>
              <w:t> </w:t>
            </w:r>
          </w:p>
        </w:tc>
        <w:tc>
          <w:tcPr>
            <w:tcW w:w="492" w:type="pct"/>
            <w:shd w:val="clear" w:color="auto" w:fill="auto"/>
            <w:noWrap/>
            <w:tcMar>
              <w:left w:w="28" w:type="dxa"/>
              <w:right w:w="28" w:type="dxa"/>
            </w:tcMar>
            <w:vAlign w:val="bottom"/>
          </w:tcPr>
          <w:p>
            <w:pPr>
              <w:autoSpaceDE/>
              <w:autoSpaceDN/>
              <w:jc w:val="right"/>
              <w:rPr>
                <w:sz w:val="18"/>
                <w:szCs w:val="18"/>
              </w:rPr>
            </w:pPr>
            <w:r>
              <w:rPr>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p>
        </w:tc>
        <w:tc>
          <w:tcPr>
            <w:tcW w:w="499" w:type="pct"/>
            <w:shd w:val="clear" w:color="auto" w:fill="auto"/>
            <w:noWrap/>
            <w:tcMar>
              <w:left w:w="28" w:type="dxa"/>
              <w:right w:w="28" w:type="dxa"/>
            </w:tcMar>
            <w:vAlign w:val="bottom"/>
          </w:tcPr>
          <w:p>
            <w:pPr>
              <w:autoSpaceDE/>
              <w:autoSpaceDN/>
              <w:jc w:val="right"/>
              <w:rPr>
                <w:sz w:val="18"/>
                <w:szCs w:val="18"/>
              </w:rPr>
            </w:pPr>
          </w:p>
        </w:tc>
        <w:tc>
          <w:tcPr>
            <w:tcW w:w="433" w:type="pct"/>
            <w:shd w:val="clear" w:color="auto" w:fill="auto"/>
            <w:noWrap/>
            <w:tcMar>
              <w:left w:w="28" w:type="dxa"/>
              <w:right w:w="28" w:type="dxa"/>
            </w:tcMar>
            <w:vAlign w:val="bottom"/>
          </w:tcPr>
          <w:p>
            <w:pPr>
              <w:autoSpaceDE/>
              <w:autoSpaceDN/>
              <w:jc w:val="right"/>
              <w:rPr>
                <w:sz w:val="18"/>
                <w:szCs w:val="18"/>
              </w:rPr>
            </w:pPr>
          </w:p>
        </w:tc>
        <w:tc>
          <w:tcPr>
            <w:tcW w:w="492" w:type="pct"/>
            <w:shd w:val="clear" w:color="auto" w:fill="auto"/>
            <w:noWrap/>
            <w:tcMar>
              <w:left w:w="28" w:type="dxa"/>
              <w:right w:w="28" w:type="dxa"/>
            </w:tcMar>
            <w:vAlign w:val="bottom"/>
          </w:tcPr>
          <w:p>
            <w:pPr>
              <w:autoSpaceDE/>
              <w:autoSpaceDN/>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СОЦИАЛЬНАЯ ПОЛИТИКА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986,30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1 005,30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976,60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Социальное обеспечение населения</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161,60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161,60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161,60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161,60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«Семья»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161,60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161,60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«Предоставление мер социальной поддержки с учетом прав отдельных категорий граждан»</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161,60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161,60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02.1.03.74500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161,60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161,60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02.1.03.74500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161,60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161,60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Охрана семьи и детства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824,70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843,70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824,70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843,70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направления деятельности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824,70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843,70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«Непрограммные расходы за счет средств из вышестоящих бюджетов»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824,70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843,70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99.9.03.73120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824,70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843,70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008</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99.9.03.73120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824,70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843,70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КОМИТЕТ ИМУЩЕСТВЕННЫХ И ЗЕМЕЛЬНЫХ ОТНОШЕНИЙ, УЧЕТА И РАСПРЕДЕЛЕНИЯ ЖИЛЬЯ АДМИНИСТРАЦИИ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77 583,48</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76 017,46</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77 741,15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ОБЩЕГОСУДАРСТВЕННЫЕ ВОПРОСЫ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14 288,31</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14 502,96</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14 502,96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Другие общегосударственные вопросы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14 288,31</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14 502,96</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14 502,96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14 288,31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14 502,96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14 502,96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746,67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746,67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746,67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«Проведение инвентаризации и независимой оценки муниципального имущества»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677,16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677,16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по оценке недвижимости, признание прав и регулирование отношений по муниципальной собственности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08.1.03.45020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677,16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677,16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08.1.03.45020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677,16</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677,16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муниципального имущества»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69,51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69,51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по охране и содержанию муниципального имущества (нежилого фонда)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08.1.04.46600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69,51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69,51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08.1.04.46600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69,51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69,51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«Сохранение объектов культурного наследия, находящихся в муниципальной собственности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400,00</w:t>
            </w:r>
          </w:p>
        </w:tc>
        <w:tc>
          <w:tcPr>
            <w:tcW w:w="433" w:type="pct"/>
            <w:shd w:val="clear" w:color="auto" w:fill="auto"/>
            <w:noWrap/>
            <w:tcMar>
              <w:left w:w="28" w:type="dxa"/>
              <w:right w:w="28" w:type="dxa"/>
            </w:tcMar>
            <w:vAlign w:val="bottom"/>
          </w:tcPr>
          <w:p>
            <w:pPr>
              <w:autoSpaceDE/>
              <w:autoSpaceDN/>
              <w:jc w:val="right"/>
              <w:rPr>
                <w:color w:val="000000"/>
                <w:sz w:val="18"/>
                <w:szCs w:val="18"/>
              </w:rPr>
            </w:pPr>
          </w:p>
        </w:tc>
        <w:tc>
          <w:tcPr>
            <w:tcW w:w="492" w:type="pct"/>
            <w:shd w:val="clear" w:color="auto" w:fill="auto"/>
            <w:noWrap/>
            <w:tcMar>
              <w:left w:w="28" w:type="dxa"/>
              <w:right w:w="28" w:type="dxa"/>
            </w:tcMar>
            <w:vAlign w:val="bottom"/>
          </w:tcPr>
          <w:p>
            <w:pPr>
              <w:autoSpaceDE/>
              <w:autoSpaceDN/>
              <w:jc w:val="righ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«Разработка проектной документации и проведение ремонта объектов культурного наследия, являющихся муниципальной собственностью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08.2.03.00000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400,00</w:t>
            </w:r>
          </w:p>
        </w:tc>
        <w:tc>
          <w:tcPr>
            <w:tcW w:w="433" w:type="pct"/>
            <w:shd w:val="clear" w:color="auto" w:fill="auto"/>
            <w:noWrap/>
            <w:tcMar>
              <w:left w:w="28" w:type="dxa"/>
              <w:right w:w="28" w:type="dxa"/>
            </w:tcMar>
            <w:vAlign w:val="bottom"/>
          </w:tcPr>
          <w:p>
            <w:pPr>
              <w:autoSpaceDE/>
              <w:autoSpaceDN/>
              <w:jc w:val="right"/>
              <w:rPr>
                <w:color w:val="000000"/>
                <w:sz w:val="18"/>
                <w:szCs w:val="18"/>
              </w:rPr>
            </w:pPr>
          </w:p>
        </w:tc>
        <w:tc>
          <w:tcPr>
            <w:tcW w:w="492" w:type="pct"/>
            <w:shd w:val="clear" w:color="auto" w:fill="auto"/>
            <w:noWrap/>
            <w:tcMar>
              <w:left w:w="28" w:type="dxa"/>
              <w:right w:w="28" w:type="dxa"/>
            </w:tcMar>
            <w:vAlign w:val="bottom"/>
          </w:tcPr>
          <w:p>
            <w:pPr>
              <w:autoSpaceDE/>
              <w:autoSpaceDN/>
              <w:jc w:val="righ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по охране и содержанию муниципального имущества (нежилого фонда)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08.2.03.46600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400,00</w:t>
            </w:r>
          </w:p>
        </w:tc>
        <w:tc>
          <w:tcPr>
            <w:tcW w:w="433" w:type="pct"/>
            <w:shd w:val="clear" w:color="auto" w:fill="auto"/>
            <w:noWrap/>
            <w:tcMar>
              <w:left w:w="28" w:type="dxa"/>
              <w:right w:w="28" w:type="dxa"/>
            </w:tcMar>
            <w:vAlign w:val="bottom"/>
          </w:tcPr>
          <w:p>
            <w:pPr>
              <w:autoSpaceDE/>
              <w:autoSpaceDN/>
              <w:jc w:val="right"/>
              <w:rPr>
                <w:color w:val="000000"/>
                <w:sz w:val="18"/>
                <w:szCs w:val="18"/>
              </w:rPr>
            </w:pPr>
          </w:p>
        </w:tc>
        <w:tc>
          <w:tcPr>
            <w:tcW w:w="492" w:type="pct"/>
            <w:shd w:val="clear" w:color="auto" w:fill="auto"/>
            <w:noWrap/>
            <w:tcMar>
              <w:left w:w="28" w:type="dxa"/>
              <w:right w:w="28" w:type="dxa"/>
            </w:tcMar>
            <w:vAlign w:val="bottom"/>
          </w:tcPr>
          <w:p>
            <w:pPr>
              <w:autoSpaceDE/>
              <w:autoSpaceDN/>
              <w:jc w:val="righ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08.2.03.46600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p>
        </w:tc>
        <w:tc>
          <w:tcPr>
            <w:tcW w:w="492" w:type="pct"/>
            <w:shd w:val="clear" w:color="auto" w:fill="auto"/>
            <w:noWrap/>
            <w:tcMar>
              <w:left w:w="28" w:type="dxa"/>
              <w:right w:w="28" w:type="dxa"/>
            </w:tcMar>
            <w:vAlign w:val="bottom"/>
          </w:tcPr>
          <w:p>
            <w:pPr>
              <w:autoSpaceDE/>
              <w:autoSpaceDN/>
              <w:jc w:val="right"/>
              <w:rPr>
                <w:i/>
                <w:i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«Обеспечение реализации муниципальной программы»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13 141,64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13 756,29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13 756,29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аппарата 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08.3.01.00000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13 141,64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13 756,29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13 756,29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функций органов местного самоуправления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08.3.01.00190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13 141,64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13 756,29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13 756,29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08.3.01.00190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12 813,19</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13 427,84</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13 427,84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08.3.01.00190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328,45</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328,45</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328,45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НАЦИОНАЛЬНАЯ ЭКОНОМИКА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1 740,73</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740,73</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740,73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Связь и информатика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48,13</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48,13</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исполнения бюджета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07.1.05.00000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в области информационных технологий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07.1.05.45130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07.1.05.45130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48,13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48,13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Другие вопросы в области национальной экономики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1 692,60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692,60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692,60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1 692,60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692,60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1 692,60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692,60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«Проведение межевания земельных участков и рыночной оценки земельных участков»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1 692,60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692,60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по землеустройству и землепользованию</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08.1.02.43000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1 692,60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692,60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08.1.02.43000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1 692,60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692,60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ЖИЛИЩНО-КОММУНАЛЬНОЕ ХОЗЯЙСТВО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10 764,64</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10 105,87</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7 544,26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Жилищное хозяйство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10 424,54</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9 765,77</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7 204,16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1 170,83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«Устойчивое развитие сельских территорий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1 170,83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«Строительство жилья в сельской местности»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06.2.02.00000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1 170,83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06.2.02.L5760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1 170,83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Капитальные вложения в объекты государственной (муниципальной) собственности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06.2.02.L5760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400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1 170,83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1 170,83</w:t>
            </w:r>
          </w:p>
        </w:tc>
        <w:tc>
          <w:tcPr>
            <w:tcW w:w="433" w:type="pct"/>
            <w:shd w:val="clear" w:color="auto" w:fill="auto"/>
            <w:noWrap w:val="0"/>
            <w:tcMar>
              <w:left w:w="28" w:type="dxa"/>
              <w:right w:w="28" w:type="dxa"/>
            </w:tcMar>
            <w:vAlign w:val="center"/>
          </w:tcPr>
          <w:p>
            <w:pPr>
              <w:autoSpaceDE/>
              <w:autoSpaceDN/>
              <w:jc w:val="right"/>
              <w:rPr>
                <w:rFonts w:ascii="Arial Narrow" w:hAnsi="Arial Narrow" w:cs="Calibri"/>
                <w:sz w:val="18"/>
                <w:szCs w:val="18"/>
              </w:rPr>
            </w:pPr>
            <w:r>
              <w:rPr>
                <w:rFonts w:ascii="Arial Narrow" w:hAnsi="Arial Narrow" w:cs="Calibri"/>
                <w:sz w:val="18"/>
                <w:szCs w:val="18"/>
              </w:rPr>
              <w:t>1 170,83</w:t>
            </w:r>
          </w:p>
        </w:tc>
        <w:tc>
          <w:tcPr>
            <w:tcW w:w="492" w:type="pct"/>
            <w:shd w:val="clear" w:color="auto" w:fill="auto"/>
            <w:noWrap w:val="0"/>
            <w:tcMar>
              <w:left w:w="28" w:type="dxa"/>
              <w:right w:w="28" w:type="dxa"/>
            </w:tcMar>
            <w:vAlign w:val="center"/>
          </w:tcPr>
          <w:p>
            <w:pPr>
              <w:autoSpaceDE/>
              <w:autoSpaceDN/>
              <w:jc w:val="right"/>
              <w:rPr>
                <w:rFonts w:ascii="Arial Narrow" w:hAnsi="Arial Narrow" w:cs="Calibri"/>
                <w:sz w:val="18"/>
                <w:szCs w:val="18"/>
              </w:rPr>
            </w:pPr>
            <w:r>
              <w:rPr>
                <w:rFonts w:ascii="Arial Narrow" w:hAnsi="Arial Narrow" w:cs="Calibri"/>
                <w:sz w:val="18"/>
                <w:szCs w:val="18"/>
              </w:rPr>
              <w:t>1 170,83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6 688,00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7 200,06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4 638,45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6 688,00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7 200,06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4 638,45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муниципального имущества»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6 688,00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7 200,06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4 638,45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по обеспечению населения Богородского муниципального округа Нижегородской области доступным и комфортным жильем</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08.1.04.44400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6 688,00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7 200,06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4 638,45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08.1.04.44400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Капитальные вложения в объекты государственной (муниципальной) собственности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08.1.04.44400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400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5 688,00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6 200,06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3 638,45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2 565,71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2 565,71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«Капитальный ремонт общего имущества в многоквартирных домах»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2 565,71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2 565,71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11.2.01.00000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2 565,71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2 565,71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Взнос на обеспечение проведения капитального ремонта общего имущества в многоквартирных домах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11.2.01.48000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2 565,71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2 565,71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11.2.01.48000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2 565,71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2 565,71</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2 565,71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Коммунальное хозяйство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340,10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340,10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340,10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340,10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340,10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340,10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муниципального имущества»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340,10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340,10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в области прочих мероприятий коммунального хозяйства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08.1.04.49700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340,10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340,10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08.1.04.49700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340,10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340,10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СОЦИАЛЬНАЯ ПОЛИТИКА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50 789,80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50 667,90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54 953,20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Социальное обеспечение населения</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48,00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48,00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4 265,10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4 265,10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«Обеспечение жильем молодых семей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«Компенсация процентной ставки по кредитам по программе жилищного кредитования»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03.1.02.00000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по осуществлению социальных выплат молодым семьям</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03.1.02.44600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03.1.02.44600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48,00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48,00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03.4.00.00000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4 217,10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жильем отдельных категорий граждан»</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03.4.01.00000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4 217,10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жильем отдельных категорий граждан, установленных Федеральным законом от 24 ноября 1995 года №181-ФЗ «О социальной защите инвалидов»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03.4.01.51760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4 217,10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03.4.01.51760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4 217,10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Охрана семьи и детства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50 741,80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50 619,90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50 688,10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50 741,80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50 619,90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50 688,10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«Обеспечение жильем молодых семей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1 006,80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849,90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«Социальные выплаты (субсидии) молодым семьям на приобретение (строительство) жилья»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1 006,80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849,90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03.1.01.L4970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1 006,80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849,90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03.1.01.L4970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1 006,80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849,90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425,90</w:t>
            </w:r>
          </w:p>
        </w:tc>
        <w:tc>
          <w:tcPr>
            <w:tcW w:w="433" w:type="pct"/>
            <w:shd w:val="clear" w:color="auto" w:fill="auto"/>
            <w:noWrap/>
            <w:tcMar>
              <w:left w:w="28" w:type="dxa"/>
              <w:right w:w="28" w:type="dxa"/>
            </w:tcMar>
            <w:vAlign w:val="bottom"/>
          </w:tcPr>
          <w:p>
            <w:pPr>
              <w:autoSpaceDE/>
              <w:autoSpaceDN/>
              <w:jc w:val="right"/>
              <w:rPr>
                <w:sz w:val="18"/>
                <w:szCs w:val="18"/>
              </w:rPr>
            </w:pPr>
            <w:r>
              <w:rPr>
                <w:sz w:val="18"/>
                <w:szCs w:val="18"/>
              </w:rPr>
              <w:t>348,00</w:t>
            </w:r>
          </w:p>
        </w:tc>
        <w:tc>
          <w:tcPr>
            <w:tcW w:w="492" w:type="pct"/>
            <w:shd w:val="clear" w:color="auto" w:fill="auto"/>
            <w:noWrap/>
            <w:tcMar>
              <w:left w:w="28" w:type="dxa"/>
              <w:right w:w="28" w:type="dxa"/>
            </w:tcMar>
            <w:vAlign w:val="bottom"/>
          </w:tcPr>
          <w:p>
            <w:pPr>
              <w:autoSpaceDE/>
              <w:autoSpaceDN/>
              <w:jc w:val="right"/>
              <w:rPr>
                <w:sz w:val="18"/>
                <w:szCs w:val="18"/>
              </w:rPr>
            </w:pPr>
            <w:r>
              <w:rPr>
                <w:sz w:val="18"/>
                <w:szCs w:val="18"/>
              </w:rPr>
              <w:t>348,00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425,90</w:t>
            </w:r>
          </w:p>
        </w:tc>
        <w:tc>
          <w:tcPr>
            <w:tcW w:w="433" w:type="pct"/>
            <w:shd w:val="clear" w:color="auto" w:fill="auto"/>
            <w:noWrap/>
            <w:tcMar>
              <w:left w:w="28" w:type="dxa"/>
              <w:right w:w="28" w:type="dxa"/>
            </w:tcMar>
            <w:vAlign w:val="bottom"/>
          </w:tcPr>
          <w:p>
            <w:pPr>
              <w:autoSpaceDE/>
              <w:autoSpaceDN/>
              <w:jc w:val="right"/>
              <w:rPr>
                <w:sz w:val="18"/>
                <w:szCs w:val="18"/>
              </w:rPr>
            </w:pPr>
            <w:r>
              <w:rPr>
                <w:sz w:val="18"/>
                <w:szCs w:val="18"/>
              </w:rPr>
              <w:t>365,40</w:t>
            </w:r>
          </w:p>
        </w:tc>
        <w:tc>
          <w:tcPr>
            <w:tcW w:w="492" w:type="pct"/>
            <w:shd w:val="clear" w:color="auto" w:fill="auto"/>
            <w:noWrap/>
            <w:tcMar>
              <w:left w:w="28" w:type="dxa"/>
              <w:right w:w="28" w:type="dxa"/>
            </w:tcMar>
            <w:vAlign w:val="bottom"/>
          </w:tcPr>
          <w:p>
            <w:pPr>
              <w:autoSpaceDE/>
              <w:autoSpaceDN/>
              <w:jc w:val="right"/>
              <w:rPr>
                <w:sz w:val="18"/>
                <w:szCs w:val="18"/>
              </w:rPr>
            </w:pPr>
            <w:r>
              <w:rPr>
                <w:sz w:val="18"/>
                <w:szCs w:val="18"/>
              </w:rPr>
              <w:t>418,20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sz w:val="18"/>
                <w:szCs w:val="18"/>
              </w:rPr>
            </w:pPr>
            <w:r>
              <w:rPr>
                <w:sz w:val="18"/>
                <w:szCs w:val="18"/>
              </w:rPr>
              <w:t>155,00</w:t>
            </w:r>
          </w:p>
        </w:tc>
        <w:tc>
          <w:tcPr>
            <w:tcW w:w="433" w:type="pct"/>
            <w:shd w:val="clear" w:color="auto" w:fill="auto"/>
            <w:noWrap/>
            <w:tcMar>
              <w:left w:w="28" w:type="dxa"/>
              <w:right w:w="28" w:type="dxa"/>
            </w:tcMar>
            <w:vAlign w:val="bottom"/>
          </w:tcPr>
          <w:p>
            <w:pPr>
              <w:autoSpaceDE/>
              <w:autoSpaceDN/>
              <w:jc w:val="right"/>
              <w:rPr>
                <w:sz w:val="18"/>
                <w:szCs w:val="18"/>
              </w:rPr>
            </w:pPr>
            <w:r>
              <w:rPr>
                <w:sz w:val="18"/>
                <w:szCs w:val="18"/>
              </w:rPr>
              <w:t>136,50</w:t>
            </w:r>
          </w:p>
        </w:tc>
        <w:tc>
          <w:tcPr>
            <w:tcW w:w="492" w:type="pct"/>
            <w:shd w:val="clear" w:color="auto" w:fill="auto"/>
            <w:noWrap/>
            <w:tcMar>
              <w:left w:w="28" w:type="dxa"/>
              <w:right w:w="28" w:type="dxa"/>
            </w:tcMar>
            <w:vAlign w:val="bottom"/>
          </w:tcPr>
          <w:p>
            <w:pPr>
              <w:autoSpaceDE/>
              <w:autoSpaceDN/>
              <w:jc w:val="right"/>
              <w:rPr>
                <w:sz w:val="18"/>
                <w:szCs w:val="18"/>
              </w:rPr>
            </w:pPr>
            <w:r>
              <w:rPr>
                <w:sz w:val="18"/>
                <w:szCs w:val="18"/>
              </w:rPr>
              <w:t>151,90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03.4.00.00000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49 735,00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49 770,00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49 770,00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жильем отдельных категорий граждан»</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03.4.01.00000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49 735,00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49 770,00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49 770,00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03.4.01.R0820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49 735,00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49 770,00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49 770,00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Капитальные вложения в объекты государственной (муниципальной) собственности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009</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03.4.01.R0820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400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49 735,00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49 770,00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49 770,00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49 735,00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49 770,00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49 770,00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АДМИНИСТРАЦИЯ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221 013,61</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149 567,59</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161 077,70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ОБЩЕГОСУДАРСТВЕННЫЕ ВОПРОСЫ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106 085,98</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96 562,85</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107 006,26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2 827,73</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2 963,42</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2 963,42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2 827,73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2 963,42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2 963,42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направления деятельности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2 827,73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2 963,42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2 963,42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аппарата 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2 827,73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2 963,42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2 963,42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функций главы муниципального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99.9.01.00030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2 827,73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2 963,42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2 963,42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99.9.01.00030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2 827,73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2 963,42</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2 963,42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78 602,69</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72 292,50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82 708,51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78 602,69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72 292,50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82 708,51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направления деятельности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78 602,69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72 292,50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82 708,51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аппарата 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76 294,69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69 984,50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80 400,51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функций органов местного самоуправления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99.9.01.00190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76 294,69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69 984,50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80 400,51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75 652,95</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69 342,76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79 758,77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641,74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641,74</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641,74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«Непрограммные расходы за счет средств из вышестоящих бюджетов»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2 308,00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2 308,00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2 308,00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99.9.03.73920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1 217,60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1 217,60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1 217,60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99.9.03.73920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1 171,80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1 171,80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1 171,80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99.9.03.73920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45,80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45,80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99.9.03.73940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1 090,40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1 090,40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1 090,40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99.9.03.73940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1 045,80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1 045,80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99.9.03.73940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44,60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44,60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Судебная система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4,90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направления деятельности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«Непрограммные расходы за счет средств из вышестоящих бюджетов»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99.9.03.51200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99.9.03.51200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4,90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Обеспечение проведения выборов и референдумов</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215,80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215,80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направления деятельности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215,80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«Прочие 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215,80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проведение выборов депутатов представительных органов муниципальных образований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99.9.04.40020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215,80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99.9.04.40020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215,80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Другие общегосударственные вопросы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24 434,86</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21 301,93</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21 301,93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2 281,79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2 357,81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2 357,81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«Информационная среда»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«Использование предоставляемой статистической информации»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13.2.02.00000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Муниципальный заказ на статистическую информацию</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13.2.02.45110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13.2.02.45110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2 131,79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2 207,81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2 207,81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функционирования МКУ «Богородский архив»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13.3.01.00000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2 034,91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2 110,93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2 110,93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13.3.01.00590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2 034,91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2 110,93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2 110,93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13.3.01.00590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1 584,44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1 660,46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1 660,46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13.3.01.00590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450,47</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450,47</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450,47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«Укрепление материально-технической базы»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13.3.02.00000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96,88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96,88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13.3.02.00590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96,88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96,88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13.3.02.00590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96,88</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96,88</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14.0.00.00000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21 697,37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18 488,42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18 488,42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14.2.00.00000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21 697,37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18 488,42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18 488,42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14.2.01.00000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18 026,72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18 488,42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18 488,42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14.2.01.00590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18 026,72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18 488,42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18 488,42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14.2.01.00590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9 627,00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10 088,70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10 088,70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14.2.01.00590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8 387,54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8 387,54</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14.2.01.00590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12,18</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12,18</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«Укрепление материально-технической базы»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14.2.02.00000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3 670,65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14.2.02.00590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3 670,65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14.2.02.00590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3 670,65</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455,70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455,70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455,70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направления деятельности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455,70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455,70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455,70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«Прочие 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455,70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455,70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455,70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Прочие выплаты по обязательствам муниципального образования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99.9.04.46000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87,50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87,50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99.9.04.46000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87,50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87,50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по проведению встреч, совещаний, мероприятий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99.9.04.46100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368,20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368,20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99.9.04.46100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368,20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368,20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НАЦИОНАЛЬНАЯ ОБОРОНА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02</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1 490,50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1 555,30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1 608,20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Мобилизационная и вневойсковая подготовка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02</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1 490,50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1 555,30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1 608,20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1 490,50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1 555,30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направления деятельности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1 490,50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1 555,30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«Непрограммные расходы за счет средств из вышестоящих бюджетов»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1 490,50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1 555,30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99.9.03.51180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1 490,50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1 555,30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99.9.03.51180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1 490,50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1 555,30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1 608,20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НАЦИОНАЛЬНАЯ БЕЗОПАСНОСТЬ И ПРАВООХРАНИТЕЛЬНАЯ ДЕЯТЕЛЬНОСТЬ</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7 380,06</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7 610,13</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7 610,13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7 380,06</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7 610,13</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7 610,13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1 920,64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1 920,64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«Защита населения и территории Богородского муниципального округа Нижегородской области от чрезвычайных ситуаций»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12.1.02.00000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направленные на предотвращение чрезвычайных ситуаций и стихийных бедствий природного и техногенного характера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12.1.02.45050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12.1.02.45050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400,00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«Построение и развитие аппаратно-программного комплекса «Безопасный город»</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12.6.00.00000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1 520,64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1 520,64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«Реконструкция и содержание муниципального сегмента РАСЦО»</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12.6.01.00000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1 520,64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1 520,64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12.6.01.45510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1 520,64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1 520,64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12.6.01.45510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1 520,64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1 520,64</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1 520,64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5 459,42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5 689,49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5 689,49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5 459,42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5 689,49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5 689,49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функционирования МКУ «ЕДДС»«</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5 459,42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5 689,49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5 689,49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13.1.01.00590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5 459,42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5 689,49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5 689,49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13.1.01.00590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4 805,77</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5 035,84</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5 035,84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13.1.01.00590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653,65</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653,65</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НАЦИОНАЛЬНАЯ ЭКОНОМИКА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16 952,31</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17 691,01</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21 234,01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Общеэкономические вопросы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2 132,09</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2 132,09</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2 132,09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157,93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157,93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«Семья»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157,93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157,93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157,93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157,93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по организации общественных работ</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02.1.04.48200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157,93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157,93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02.1.04.48200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157,93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157,93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1 974,16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1 974,16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12.4.00.00000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1 974,16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1 974,16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«Занятость и трудоустройство несовершеннолетних»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12.4.02.00000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1 974,16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1 974,16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по организации временной занятости несовершеннолетних и общественных работ</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12.4.02.48100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1 974,16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1 974,16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12.4.02.48100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1 974,16</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1 974,16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Дорожное хозяйство (дорожные фонды)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11 963,70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12 702,40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16 245,40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11 963,70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12 702,40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16 245,40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11 963,70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12 702,40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16 245,40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«Выполнение работ по ремонту автомобильных дорог»</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11 963,70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12 702,40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16 245,40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10.1.01.44200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11 963,70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12 702,40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16 245,40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10.1.01.44200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11 963,70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12 702,40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16 245,40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Связь и информатика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1 800,01</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1 800,01</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1 800,01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136,08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136,08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136,08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136,08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исполнения бюджета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07.1.05.00000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136,08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136,08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в области информационных технологий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07.1.05.45130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136,08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136,08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07.1.05.45130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136,08</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136,08</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1 663,93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1 663,93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«Информационная среда»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1 663,93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1 663,93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«Реализация мероприятий в сфере информационных технологий»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13.2.04.00000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1 663,93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1 663,93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в области информационных технологий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13.2.04.45130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1 663,93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1 663,93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13.2.04.45130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1 663,93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1 663,93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1 663,93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Другие вопросы в области национальной экономики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1 056,51</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1 056,51</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1 056,51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904,90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904,90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предпринимательства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904,90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904,90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09.1.10.00000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364,90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364,90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Поддержка некоммерческих организаций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09.1.10.49920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364,90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364,90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09.1.10.49920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364,90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364,90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«Консультационная поддержка субъектов малого и среднего предпринимательства»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09.1.11.00000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540,00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540,00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Поддержка некоммерческих организаций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09.1.11.49920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540,00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540,00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09.1.11.49920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540,00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540,00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151,61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151,61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направления деятельности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151,61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151,61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«Прочие 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151,61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151,61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в области строительства, архитектуры и градостроительства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99.9.04.42000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151,61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151,61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99.9.04.42000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151,61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151,61</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ЖИЛИЩНО-КОММУНАЛЬНОЕ ХОЗЯЙСТВО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61 112,43</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10 044,69</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7 515,49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Коммунальное хозяйство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56 329,90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5 201,20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53 657,90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2 529,20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коммунальной инфраструктуры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53 657,90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2 529,20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«Капитальный ремонт, реконструкция объектов теплоснабжения»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11.1.03.00000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8 469,40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Субсидии на возмещение затрат, связанных с производством и (или) реализацией услуг тепло-, водоснабжения и водоотведения потребителям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11.1.03.49820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8 469,40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11.1.03.49820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8 469,40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11.1.06.00000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45 188,50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2 529,20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погашение задолженности ресурсоснабжающих организаций по заключенным мировым соглашениям и соглашениям о реструктуризации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11.1.06.74230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45 188,50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2 529,20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11.1.06.74230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45 188,50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2 529,20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2 672,00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2 672,00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направления деятельности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2 672,00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2 672,00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«Прочие 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2 672,00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2 672,00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Субсидии на возмещение части затрат юридическим лицам по предоставлению бытовых услуг населению</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99.9.04.66100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2 672,00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2 672,00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99.9.04.66100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2 672,00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2 672,00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Благоустройство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3 500,00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3 500,00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коммунальной инфраструктуры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«Ремонт и восстановление не централизованных источников водоснабжения»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11.1.04.00000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Прочие мероприятия по благоустройству</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11.1.04.43500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11.1.04.43500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«Благоустройство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реализацию проектов инициативного бюджетирования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16.1.02.43940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16.1.02.43940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3 000,00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3 000,00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Другие вопросы в области жилищно-коммунального хозяйства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1 282,53</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1 343,49</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1 343,49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1 271,03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1 331,99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1 331,99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1 271,03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1 331,99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1 331,99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функционирования МКУ «ЕДДС»«</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1 271,03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1 331,99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1 331,99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13.1.01.00590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1 271,03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1 331,99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1 331,99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13.1.01.00590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1 271,03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1 331,99</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1 331,99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направления деятельности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«Непрограммные расходы за счет средств из вышестоящих бюджетов»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99.9.03.73930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99.9.03.73930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11,50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11,50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ОБРАЗОВАНИЕ</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389,06</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389,06</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389,06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Профессиональная подготовка, переподготовка и повышение квалификации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200,64</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200,64</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14.0.00.00000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200,64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муниципальной службы»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14.1.00.00000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200,64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профессиональной подготовки»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14.1.03.00000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200,64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Переподготовка и повышение квалификации кадров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14.1.03.45070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200,64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14.1.03.45070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200,64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200,64</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Молодежная политика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188,42</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188,42</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188,42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26,25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26,25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«Патриотическое воспитание граждан»</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02.4.00.00000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26,25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26,25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««Послужить для отчизны». Социально-патриотические акции для призывников»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02.4.01.00000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11,25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11,25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проведение мероприятий для детей и молодежи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02.4.01.45160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11,25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11,25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02.4.01.45160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11,25</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11,25</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02.4.02.00000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проведение мероприятий для детей и молодежи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02.4.02.45160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02.4.02.45160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«Повышение безопасности дорожного движения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«Совершенствование системы управления обеспечением безопасности дорожного движения»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10.2.01.00000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проведение мероприятий для детей и молодежи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10.2.01.45160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10.2.01.45160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12.4.00.00000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«Работа с несовершеннолетними правонарушителями, детьми состоящими на профучетах и в группе «риска»«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12.4.01.00000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по обеспечению безопасности жизнедеятельности населения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12.4.01.45300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12,17</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07</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12.4.01.45300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12,17</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12,17</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КУЛЬТУРА, КИНЕМАТОГРАФИЯ</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10 100,00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Культура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10 100,00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10 100,00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«Организация досуга и предоставление услуг учреждениями культуры»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10 100,00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и проведение государственных праздников и общественно значимых мероприятий»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04.2.02.00000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10 100,00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в сфере культуры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04.2.02.45220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10 100,00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08</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04.2.02.45220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10 100,00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СОЦИАЛЬНАЯ ПОЛИТИКА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8 961,93</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8 899,93</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8 899,93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Пенсионное обеспечение</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5 644,08</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5 644,08</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5 644,08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5 644,08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5 644,08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5 644,08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«Старшее поколение»</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5 644,08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5 644,08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5 644,08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5 644,08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5 644,08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5 644,08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Ежемесячная доплата к пенсиям лицам, замещавшим муниципальные должности и должности муниципальной службы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02.2.01.49980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5 644,08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5 644,08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5 644,08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02.2.01.49980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5 644,08</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5 644,08</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5 644,08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Социальное обеспечение населения</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1 062,00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1 062,00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1 062,00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1 062,00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1 062,00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«Семья»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216,00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216,00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«Предоставление мер социальной поддержки с учетом прав отдельных категорий граждан»</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02.1.03.00000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216,00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216,00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Предоставление ежемесячной выплаты семьям, имеющим пятерых и более детей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02.1.03.40140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216,00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216,00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02.1.03.40140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216,00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216,00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«Старшее поколение»</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846,00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846,00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846,00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846,00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Ежемесячная денежная выплата гражданам, имеющим звание «Почетный гражданин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02.2.01.40920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02.2.01.40920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49,50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49,50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02.2.01.40930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594,00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594,00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02.2.01.40930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594,00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594,00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Ежемесячная денежная выплата гражданам, имеющим звание «Заслуженный работник»</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02.2.01.40940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02.2.01.40940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Денежная выплата гражданам, имеющим звание «Почетный гражданин города Богородска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02.2.01.40950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02.2.01.40950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52,50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52,50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Другие вопросы в области социальной политики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2 255,85</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2 193,85</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2 193,85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2 255,85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2 193,85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2 193,85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«Семья»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1 359,21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1 359,21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1 359,21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«Проведение мероприятий, направленных на пропаганду семейного образа жизни»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262,21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262,21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в области социальной политики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02.1.01.45280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123,21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123,21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02.1.01.45280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123,21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123,21</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Поддержка социально ориентированных некоммерческих организаций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02.1.01.49910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139,00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139,00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02.1.01.49910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139,00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139,00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и проведение мероприятий, направленных на поддержку семей с несовершеннолетними детьми»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1 097,00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1 097,00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в области социальной политики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02.1.02.45280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1 097,00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1 097,00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Социальное обеспечение и иные выплаты населению</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02.1.02.45280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300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1 097,00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1 097,00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«Старшее поколение»</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686,14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686,14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686,14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35,64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35,64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в области социальной политики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02.2.01.45280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35,64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35,64</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02.2.01.45280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35,64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35,64</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«Оказание финансовой поддержки социально ориентированным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650,50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650,50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Поддержка социально ориентированных некоммерческих организаций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02.2.02.49910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650,50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650,50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02.2.02.49910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650,50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650,50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«Ветераны боевых действий»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210,50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148,50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02.3.01.00000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210,50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148,50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Поддержка социально ориентированных некоммерческих организаций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02.3.01.49910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210,50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148,50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02.3.01.49910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210,50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148,50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СРЕДСТВА МАССОВОЙ ИНФОРМАЦИИ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12</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8 541,34</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6 814,62</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6 814,62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Телевидение и радиовещание</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12</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3 656,94</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3 130,22</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3 130,22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3 656,94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3 130,22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3 130,22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«Информационная среда»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3 656,94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3 130,22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3 130,22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13.2.01.00000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3 656,94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3 130,22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3 130,22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13.2.01.00590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3 656,94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3 130,22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3 130,22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13.2.01.00590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3 656,94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3 130,22</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3 130,22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Периодическая печать и издательства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12</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4 884,40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3 684,40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3 684,40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4 884,40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3 684,40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3 684,40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«Информационная среда»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4 884,40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3 684,40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3 684,40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13.2.01.00000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4 884,40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3 684,40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3 684,40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13.2.01.00590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13.2.01.00590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1 200,00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оказание частичной финансовой поддержки районных (окружных) средств массовой информации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12</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13.2.01.S2050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3 684,40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3 684,40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3 684,40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Предоставление субсидий бюджетным, автономным учреждениям и иным некоммерческим организациям</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010</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12</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13.2.01.S2050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600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3 684,40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3 684,40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3 684,40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736,90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736,90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736,90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2 947,50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2 947,50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2 947,50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УПРАВЛЕНИЕ ГОРОДСКОГО ХОЗЯЙСТВА И ПРОЕКТНОЙ ДЕЯТЕЛЬНОСТИ АДМИНИСТРАЦИИ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104 407,83</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110 630,02</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110 628,32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ОБЩЕГОСУДАРСТВЕННЫЕ ВОПРОСЫ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8 181,20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8 523,26</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8 523,26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8 181,20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8 523,26</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8 523,26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8 181,20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8 523,26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8 523,26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«Обеспечение реализации муниципальной программы»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8 181,20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8 523,26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8 523,26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аппарата 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16.3.01.00000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8 181,20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8 523,26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8 523,26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функций органов местного самоуправления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16.3.01.00190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8 181,20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8 523,26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8 523,26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16.3.01.00190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7 131,04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7 473,10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7 473,10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16.3.01.00190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1 050,16</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1 050,16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1 050,16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НАЦИОНАЛЬНАЯ БЕЗОПАСНОСТЬ И ПРАВООХРАНИТЕЛЬНАЯ ДЕЯТЕЛЬНОСТЬ</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12,00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12,00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12,00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«Пожарная безопасность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16.2.01.00000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проведение противопожарных мероприятий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16.2.01.45060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16.2.01.45060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НАЦИОНАЛЬНАЯ ЭКОНОМИКА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23 214,03</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23 690,41</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23 690,41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Дорожное хозяйство (дорожные фонды)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23 214,03</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23 690,41</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23 690,41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23 214,03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23 690,41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23 690,41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21 520,73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21 997,11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21 997,11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«Выполнение работ по ремонту автомобильных дорог»</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21 520,73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21 997,11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21 997,11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10.1.01.00590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16 075,53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16 551,91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16 551,91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10.1.01.00590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12 948,03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13 424,41</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13 424,41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10.1.01.00590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3 127,50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3 127,50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3 127,50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10.1.01.44200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5 445,20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5 445,20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5 445,20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10.1.01.44200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5 445,20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5 445,20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5 445,20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«Повышение безопасности дорожного движения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1 693,30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1 693,30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1 693,30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«Повышение уровня технического обеспечения мероприятий по безопасности дорожного движения»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10.2.02.00000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1 693,30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1 693,30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1 693,30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Установка и содержание элементов обустройства автомобильных дорог</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10.2.02.44300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1 693,30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1 693,30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1 693,30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10.2.02.44300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1 693,30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1 693,30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1 693,30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ЖИЛИЩНО-КОММУНАЛЬНОЕ ХОЗЯЙСТВО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73 000,60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78 404,35</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78 402,65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Коммунальное хозяйство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7 399,13</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11 991,43</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11 991,43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7 399,13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11 991,43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11 991,43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7 399,13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11 991,43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11 991,43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7 399,13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11 991,43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11 991,43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в области обращения с твердыми коммунальными отходами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16.1.01.43910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1 375,13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1 375,13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1 375,13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16.1.01.43910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1 375,13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1 375,13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1 375,13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создание (обустройство) контейнерных площадок</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16.1.01.S2670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4 212,00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7 991,10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7 991,10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16.1.01.S2670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4 212,00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7 991,10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7 991,10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210,60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210,60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210,60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4 001,40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7 780,50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7 780,50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приобретение контейнеров и (или) бункеров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16.1.01.S2870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1 812,00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2 625,20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2 625,20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16.1.01.S2870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1 812,00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2 625,20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2 625,20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90,60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90,60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1 721,40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2 534,60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Благоустройство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58 131,15</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58 651,65</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58 649,95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15.0.00.00000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11 387,93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11 466,53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11 464,83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«Благоустройство общественных пространств»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15.1.00.00000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764,30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842,90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Федеральный проект «Формирование комфортной городской среды»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15.1.F2.00000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764,30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842,90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поддержку муниципальных программ формирования современной городской среды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15.1.F2.55550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764,30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842,90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841,20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15.1.F2.55550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764,30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842,90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841,20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76,40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76,40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687,90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766,50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764,80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федерального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«Благоустройство дворовых территорий»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15.2.00.00000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10 623,63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10 623,63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10 623,63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Федеральный проект «Формирование комфортной городской среды»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15.2.F2.00000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10 623,63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10 623,63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10 623,63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проведение ремонта дворовых территорий в муниципальных образованиях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15.2.F2.S2980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10 623,63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10 623,63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10 623,63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15.2.F2.S2980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10 623,63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10 623,63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10 623,63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2 124,73</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2 124,73</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2 124,73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8 498,90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8 498,90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8 498,90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46 743,22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47 185,12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47 185,12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46 743,22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47 185,12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47 185,12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«Благоустройство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46 743,22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47 185,12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47 185,12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11 472,61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11 914,41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11 914,41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10 914,89</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11 356,69</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11 356,69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557,72</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557,72</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557,72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по организации освещения улиц территории поселения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16.1.02.43100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15 878,11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15 878,11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15 878,11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16.1.02.43100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15 878,11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15 878,11</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15 878,11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по озеленению территории поселения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16.1.02.43300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409,00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409,00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409,00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16.1.02.43300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409,00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409,00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409,00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по спилу, обрезке (вырубке) и валке деревьев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16.1.02.43310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1 431,42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1 431,52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1 431,52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16.1.02.43310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1 431,42</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1 431,52</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1 431,52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по содержанию мест захоронения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16.1.02.43400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99,00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99,00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16.1.02.43400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99,00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99,00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Прочие мероприятия по благоустройству</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16.1.02.43500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16.1.02.43500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25,00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25,00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по обустройству мест массового отдыха населения и общественных пространств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16.1.02.43800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3 830,80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3 830,80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3 830,80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16.1.02.43800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3 830,80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3 830,80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3 830,80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16.1.02.43900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109,12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109,12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16.1.02.43900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109,12</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109,12</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реализацию мероприятий в рамках проекта «Память поколений»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16.1.02.S2680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5 867,16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5 867,16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5 867,16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16.1.02.S2680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5 867,16</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5 867,16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5 867,16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293,36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293,36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293,36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5 573,80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5 573,80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5 573,80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содержание объектов благоустройства и общественных территорий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16.1.02.S2820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7 621,00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7 621,00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7 621,00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16.1.02.S2820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7 621,00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7 621,00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7 621,00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в том числе</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местного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1 524,20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1 524,20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1 524,20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ind w:firstLine="540" w:firstLineChars="300"/>
              <w:rPr>
                <w:color w:val="000000"/>
                <w:sz w:val="18"/>
                <w:szCs w:val="18"/>
              </w:rPr>
            </w:pPr>
            <w:r>
              <w:rPr>
                <w:color w:val="000000"/>
                <w:sz w:val="18"/>
                <w:szCs w:val="18"/>
              </w:rPr>
              <w:t>за счет средств областного бюджета</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 </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6 096,80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6 096,80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6 096,80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Другие вопросы в области жилищно-коммунального хозяйства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7 470,32</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7 761,27</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7 761,27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7 470,32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7 761,27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7 761,27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7 470,32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7 761,27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7 761,27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«Благоустройство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7 470,32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7 761,27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7 761,27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7 470,32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7 761,27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7 761,27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6 065,30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6 356,25</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6 356,25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1 188,23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1 188,23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1 188,23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011</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216,79</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216,79</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216,79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УПРАВЛЕНИЕ СЕЛЬСКИХ ТЕРРИТОРИЙ АДМИНИСТРАЦИИ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117 969,47</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118 361,86</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118 361,86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ОБЩЕГОСУДАРСТВЕННЫЕ ВОПРОСЫ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19 358,30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20 158,77</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20 158,77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19 358,30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20 158,77</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20 158,77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19 358,30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20 158,77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20 158,77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«Обеспечение реализации муниципальной программы»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16.3.00.00000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19 358,30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20 158,77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20 158,77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аппарата 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16.3.01.00000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19 358,30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20 158,77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20 158,77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функций органов местного самоуправления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16.3.01.00190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19 358,30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20 158,77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20 158,77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16.3.01.00190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16 686,68</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17 487,14</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17 487,14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16.3.01.00190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2 671,62</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2 671,63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2 671,63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НАЦИОНАЛЬНАЯ БЕЗОПАСНОСТЬ И ПРАВООХРАНИТЕЛЬНАЯ ДЕЯТЕЛЬНОСТЬ</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29 208,60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29 646,27</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29 646,27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29 208,60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29 646,27</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29 646,27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29 208,60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29 646,27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29 646,27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«Пожарная безопасность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16.2.00.00000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29 208,60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29 646,27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29 646,27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16.2.01.00000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28 608,60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29 646,27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29 646,27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16.2.01.00590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27 608,60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28 646,27</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28 646,27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16.2.01.00590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23 635,06</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24 672,73</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24 672,73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16.2.01.00590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3 973,54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3 973,54</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3 973,54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проведение противопожарных мероприятий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16.2.01.45060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16.2.01.45060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«Укрепление материально-технической базы»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16.2.02.00000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16.2.02.00590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600,00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16.2.02.00590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НАЦИОНАЛЬНАЯ ЭКОНОМИКА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17 386,60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17 386,60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17 386,60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Дорожное хозяйство (дорожные фонды)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17 386,60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17 386,60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17 386,60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17 386,60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17 386,60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17 386,60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17 386,60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17 386,60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17 386,60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«Выполнение работ по ремонту автомобильных дорог»</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17 386,60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17 386,60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17 386,60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10.1.01.44200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17 386,60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17 386,60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17 386,60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04</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09</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10.1.01.44200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17 386,60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17 386,60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17 386,60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ЖИЛИЩНО-КОММУНАЛЬНОЕ ХОЗЯЙСТВО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52 015,97</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51 170,22</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51 170,22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Коммунальное хозяйство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1 708,75</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1 708,75</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1 708,75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1 708,75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1 708,75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1 708,75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1 708,75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1 708,75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1 708,75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1 708,75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1 708,75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1 708,75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в области обращения с твердыми коммунальными отходами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16.1.01.43910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1 708,75</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1 708,75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1 708,75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02</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16.1.01.43910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1 708,75</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1 708,75</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1 708,75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Благоустройство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26 854,02</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25 013,38</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25 013,38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26 854,02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25 013,38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25 013,38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26 854,02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25 013,38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25 013,38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«Благоустройство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26 854,02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25 013,38</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25 013,38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по организации освещения улиц территории поселения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16.1.02.43100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18 868,49</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18 868,49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18 868,49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16.1.02.43100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18 868,49</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18 868,49</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18 868,49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по спилу, обрезке (вырубке) и валке деревьев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16.1.02.43310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1 966,42</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1 966,42</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1 966,42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16.1.02.43310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1 966,42</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1 966,42</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1 966,42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по ликвидации и предовращении массового распространения сорного растения борщевик Сосновского</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16.1.02.43320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16.1.02.43320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по содержанию мест захоронения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16.1.02.43400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16.1.02.43400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Прочие мероприятия по благоустройству</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16.1.02.43500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1 840,64</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16.1.02.43500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1 840,64</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по содержанию объектов культурного наследия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16.1.02.43700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250,00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250,00</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16.1.02.43700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250,00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250,00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по обустройству мест массового отдыха населения и общественных пространств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16.1.02.43800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1 246,56</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1 246,56</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1 246,56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16.1.02.43800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1 246,56</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1 246,56</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1 246,56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16.1.02.43900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1 181,91</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1 181,91</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1 181,91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03</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16.1.02.43900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1 181,91</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1 181,91</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1 181,91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Другие вопросы в области жилищно-коммунального хозяйства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23 453,20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24 448,09</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24 448,09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23 453,20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24 448,09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24 448,09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23 453,20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24 448,09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24 448,09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«Благоустройство населенных пунктов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23 453,20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24 448,09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24 448,09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деятельности муниципальных учреждений</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16.1.02.00590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23 453,20</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24 448,09</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24 448,09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20 740,60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21 735,49</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21 735,49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2 557,60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2 557,60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2 557,60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Иные бюджетные ассигнования</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012</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05</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16.1.02.00590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800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155,00</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155,00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КОНТРОЛЬНО-СЧЕТНАЯ КОМИССИЯ БОГОРОДСКОГО МУНИЦИПАЛЬНОГО ОКРУГА НИЖЕГОРОДСКОЙ ОБЛАСТИ</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013</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2 198,08</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2 190,35</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2 190,35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ОБЩЕГОСУДАРСТВЕННЫЕ ВОПРОСЫ</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013</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2 198,08</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2 190,35</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2 190,35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013</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00.0.00.00000</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000</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2 198,08</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2 190,35</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2 190,35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расходы</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99.0.00.00000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2 198,08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2 190,35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2 190,35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Непрограммные направления деятельности</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99.9.00.00000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2 198,08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2 190,35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2 190,35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Основное мероприятие «Содержание аппарата 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99.9.01.00000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2 198,08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2 190,35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2 190,35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color w:val="000000"/>
                <w:sz w:val="18"/>
                <w:szCs w:val="18"/>
              </w:rPr>
            </w:pPr>
            <w:r>
              <w:rPr>
                <w:color w:val="000000"/>
                <w:sz w:val="18"/>
                <w:szCs w:val="18"/>
              </w:rPr>
              <w:t>Расходы на обеспечение функций органов местного самоуправления</w:t>
            </w:r>
          </w:p>
        </w:tc>
        <w:tc>
          <w:tcPr>
            <w:tcW w:w="28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013</w:t>
            </w:r>
          </w:p>
        </w:tc>
        <w:tc>
          <w:tcPr>
            <w:tcW w:w="215"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99.9.01.00190</w:t>
            </w:r>
          </w:p>
        </w:tc>
        <w:tc>
          <w:tcPr>
            <w:tcW w:w="287" w:type="pct"/>
            <w:shd w:val="clear" w:color="auto" w:fill="auto"/>
            <w:noWrap w:val="0"/>
            <w:tcMar>
              <w:left w:w="28" w:type="dxa"/>
              <w:right w:w="28" w:type="dxa"/>
            </w:tcMar>
            <w:vAlign w:val="center"/>
          </w:tcPr>
          <w:p>
            <w:pPr>
              <w:autoSpaceDE/>
              <w:autoSpaceDN/>
              <w:jc w:val="center"/>
              <w:rPr>
                <w:color w:val="000000"/>
                <w:sz w:val="18"/>
                <w:szCs w:val="18"/>
              </w:rPr>
            </w:pPr>
            <w:r>
              <w:rPr>
                <w:color w:val="000000"/>
                <w:sz w:val="18"/>
                <w:szCs w:val="18"/>
              </w:rPr>
              <w:t>000</w:t>
            </w:r>
          </w:p>
        </w:tc>
        <w:tc>
          <w:tcPr>
            <w:tcW w:w="499"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2 198,08</w:t>
            </w:r>
          </w:p>
        </w:tc>
        <w:tc>
          <w:tcPr>
            <w:tcW w:w="433"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2 190,35</w:t>
            </w:r>
          </w:p>
        </w:tc>
        <w:tc>
          <w:tcPr>
            <w:tcW w:w="492" w:type="pct"/>
            <w:shd w:val="clear" w:color="auto" w:fill="auto"/>
            <w:noWrap/>
            <w:tcMar>
              <w:left w:w="28" w:type="dxa"/>
              <w:right w:w="28" w:type="dxa"/>
            </w:tcMar>
            <w:vAlign w:val="bottom"/>
          </w:tcPr>
          <w:p>
            <w:pPr>
              <w:autoSpaceDE/>
              <w:autoSpaceDN/>
              <w:jc w:val="right"/>
              <w:rPr>
                <w:color w:val="000000"/>
                <w:sz w:val="18"/>
                <w:szCs w:val="18"/>
              </w:rPr>
            </w:pPr>
            <w:r>
              <w:rPr>
                <w:color w:val="000000"/>
                <w:sz w:val="18"/>
                <w:szCs w:val="18"/>
              </w:rPr>
              <w:t>2 190,35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100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2 023,63</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2 120,70</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2 120,70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28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013</w:t>
            </w:r>
          </w:p>
        </w:tc>
        <w:tc>
          <w:tcPr>
            <w:tcW w:w="215"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01</w:t>
            </w:r>
          </w:p>
        </w:tc>
        <w:tc>
          <w:tcPr>
            <w:tcW w:w="286"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06</w:t>
            </w:r>
          </w:p>
        </w:tc>
        <w:tc>
          <w:tcPr>
            <w:tcW w:w="644"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99.9.01.00190</w:t>
            </w:r>
          </w:p>
        </w:tc>
        <w:tc>
          <w:tcPr>
            <w:tcW w:w="287" w:type="pct"/>
            <w:shd w:val="clear" w:color="auto" w:fill="auto"/>
            <w:noWrap w:val="0"/>
            <w:tcMar>
              <w:left w:w="28" w:type="dxa"/>
              <w:right w:w="28" w:type="dxa"/>
            </w:tcMar>
            <w:vAlign w:val="center"/>
          </w:tcPr>
          <w:p>
            <w:pPr>
              <w:autoSpaceDE/>
              <w:autoSpaceDN/>
              <w:jc w:val="center"/>
              <w:rPr>
                <w:i/>
                <w:iCs/>
                <w:color w:val="000000"/>
                <w:sz w:val="18"/>
                <w:szCs w:val="18"/>
              </w:rPr>
            </w:pPr>
            <w:r>
              <w:rPr>
                <w:i/>
                <w:iCs/>
                <w:color w:val="000000"/>
                <w:sz w:val="18"/>
                <w:szCs w:val="18"/>
              </w:rPr>
              <w:t>200</w:t>
            </w:r>
          </w:p>
        </w:tc>
        <w:tc>
          <w:tcPr>
            <w:tcW w:w="499"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174,45</w:t>
            </w:r>
          </w:p>
        </w:tc>
        <w:tc>
          <w:tcPr>
            <w:tcW w:w="433"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69,65</w:t>
            </w:r>
          </w:p>
        </w:tc>
        <w:tc>
          <w:tcPr>
            <w:tcW w:w="492" w:type="pct"/>
            <w:shd w:val="clear" w:color="auto" w:fill="auto"/>
            <w:noWrap/>
            <w:tcMar>
              <w:left w:w="28" w:type="dxa"/>
              <w:right w:w="28" w:type="dxa"/>
            </w:tcMar>
            <w:vAlign w:val="bottom"/>
          </w:tcPr>
          <w:p>
            <w:pPr>
              <w:autoSpaceDE/>
              <w:autoSpaceDN/>
              <w:jc w:val="right"/>
              <w:rPr>
                <w:i/>
                <w:iCs/>
                <w:color w:val="000000"/>
                <w:sz w:val="18"/>
                <w:szCs w:val="18"/>
              </w:rPr>
            </w:pPr>
            <w:r>
              <w:rPr>
                <w:i/>
                <w:iCs/>
                <w:color w:val="000000"/>
                <w:sz w:val="18"/>
                <w:szCs w:val="18"/>
              </w:rPr>
              <w:t>69,65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859" w:type="pct"/>
            <w:shd w:val="clear" w:color="auto" w:fill="auto"/>
            <w:noWrap w:val="0"/>
            <w:tcMar>
              <w:left w:w="28" w:type="dxa"/>
              <w:right w:w="28" w:type="dxa"/>
            </w:tcMar>
            <w:vAlign w:val="center"/>
          </w:tcPr>
          <w:p>
            <w:pPr>
              <w:autoSpaceDE/>
              <w:autoSpaceDN/>
              <w:jc w:val="both"/>
              <w:rPr>
                <w:b/>
                <w:bCs/>
                <w:color w:val="000000"/>
                <w:sz w:val="18"/>
                <w:szCs w:val="18"/>
              </w:rPr>
            </w:pPr>
            <w:r>
              <w:rPr>
                <w:b/>
                <w:bCs/>
                <w:color w:val="000000"/>
                <w:sz w:val="18"/>
                <w:szCs w:val="18"/>
              </w:rPr>
              <w:t>Всего</w:t>
            </w:r>
          </w:p>
        </w:tc>
        <w:tc>
          <w:tcPr>
            <w:tcW w:w="28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 </w:t>
            </w:r>
          </w:p>
        </w:tc>
        <w:tc>
          <w:tcPr>
            <w:tcW w:w="215"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 </w:t>
            </w:r>
          </w:p>
        </w:tc>
        <w:tc>
          <w:tcPr>
            <w:tcW w:w="286"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 </w:t>
            </w:r>
          </w:p>
        </w:tc>
        <w:tc>
          <w:tcPr>
            <w:tcW w:w="644"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 </w:t>
            </w:r>
          </w:p>
        </w:tc>
        <w:tc>
          <w:tcPr>
            <w:tcW w:w="287" w:type="pct"/>
            <w:shd w:val="clear" w:color="auto" w:fill="auto"/>
            <w:noWrap w:val="0"/>
            <w:tcMar>
              <w:left w:w="28" w:type="dxa"/>
              <w:right w:w="28" w:type="dxa"/>
            </w:tcMar>
            <w:vAlign w:val="center"/>
          </w:tcPr>
          <w:p>
            <w:pPr>
              <w:autoSpaceDE/>
              <w:autoSpaceDN/>
              <w:jc w:val="center"/>
              <w:rPr>
                <w:b/>
                <w:bCs/>
                <w:color w:val="000000"/>
                <w:sz w:val="18"/>
                <w:szCs w:val="18"/>
              </w:rPr>
            </w:pPr>
            <w:r>
              <w:rPr>
                <w:b/>
                <w:bCs/>
                <w:color w:val="000000"/>
                <w:sz w:val="18"/>
                <w:szCs w:val="18"/>
              </w:rPr>
              <w:t> </w:t>
            </w:r>
          </w:p>
        </w:tc>
        <w:tc>
          <w:tcPr>
            <w:tcW w:w="499"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2 510 437,90</w:t>
            </w:r>
          </w:p>
        </w:tc>
        <w:tc>
          <w:tcPr>
            <w:tcW w:w="433"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2 327 016,90</w:t>
            </w:r>
          </w:p>
        </w:tc>
        <w:tc>
          <w:tcPr>
            <w:tcW w:w="492" w:type="pct"/>
            <w:shd w:val="clear" w:color="auto" w:fill="auto"/>
            <w:noWrap/>
            <w:tcMar>
              <w:left w:w="28" w:type="dxa"/>
              <w:right w:w="28" w:type="dxa"/>
            </w:tcMar>
            <w:vAlign w:val="bottom"/>
          </w:tcPr>
          <w:p>
            <w:pPr>
              <w:autoSpaceDE/>
              <w:autoSpaceDN/>
              <w:jc w:val="right"/>
              <w:rPr>
                <w:b/>
                <w:bCs/>
                <w:color w:val="000000"/>
                <w:sz w:val="18"/>
                <w:szCs w:val="18"/>
              </w:rPr>
            </w:pPr>
            <w:r>
              <w:rPr>
                <w:b/>
                <w:bCs/>
                <w:color w:val="000000"/>
                <w:sz w:val="18"/>
                <w:szCs w:val="18"/>
              </w:rPr>
              <w:t>2 292 193,70</w:t>
            </w:r>
          </w:p>
        </w:tc>
      </w:tr>
    </w:tbl>
    <w:p>
      <w:pPr>
        <w:tabs>
          <w:tab w:val="left" w:pos="568"/>
        </w:tabs>
        <w:ind w:firstLine="5580"/>
        <w:jc w:val="center"/>
        <w:rPr>
          <w:sz w:val="28"/>
          <w:szCs w:val="28"/>
        </w:rPr>
      </w:pPr>
    </w:p>
    <w:p>
      <w:pPr>
        <w:tabs>
          <w:tab w:val="left" w:pos="568"/>
        </w:tabs>
        <w:jc w:val="center"/>
        <w:rPr>
          <w:sz w:val="28"/>
          <w:szCs w:val="28"/>
        </w:rPr>
      </w:pPr>
      <w:r>
        <w:rPr>
          <w:sz w:val="28"/>
          <w:szCs w:val="28"/>
        </w:rPr>
        <w:t>_______________________</w:t>
      </w:r>
    </w:p>
    <w:p>
      <w:pPr>
        <w:tabs>
          <w:tab w:val="left" w:pos="568"/>
        </w:tabs>
        <w:ind w:firstLine="5580"/>
        <w:jc w:val="center"/>
        <w:rPr>
          <w:sz w:val="28"/>
          <w:szCs w:val="28"/>
        </w:rPr>
        <w:sectPr>
          <w:headerReference r:id="rId9" w:type="default"/>
          <w:type w:val="nextColumn"/>
          <w:pgSz w:w="11906" w:h="16838"/>
          <w:pgMar w:top="1134" w:right="850" w:bottom="1134" w:left="1701" w:header="709" w:footer="709" w:gutter="0"/>
          <w:pgNumType w:start="1"/>
          <w:cols w:space="708" w:num="1"/>
          <w:titlePg/>
          <w:docGrid w:linePitch="360" w:charSpace="0"/>
        </w:sectPr>
      </w:pPr>
    </w:p>
    <w:p>
      <w:pPr>
        <w:tabs>
          <w:tab w:val="left" w:pos="568"/>
        </w:tabs>
        <w:ind w:firstLine="5580"/>
        <w:jc w:val="center"/>
        <w:rPr>
          <w:rFonts w:eastAsia="Lucida Sans Unicode"/>
          <w:kern w:val="2"/>
          <w:sz w:val="28"/>
          <w:szCs w:val="28"/>
        </w:rPr>
      </w:pPr>
      <w:r>
        <w:rPr>
          <w:rFonts w:eastAsia="Lucida Sans Unicode"/>
          <w:kern w:val="2"/>
          <w:sz w:val="28"/>
          <w:szCs w:val="28"/>
        </w:rPr>
        <w:t>ПРИЛОЖЕНИЕ 6</w:t>
      </w:r>
    </w:p>
    <w:p>
      <w:pPr>
        <w:tabs>
          <w:tab w:val="left" w:pos="568"/>
        </w:tabs>
        <w:ind w:firstLine="5580"/>
        <w:jc w:val="center"/>
        <w:rPr>
          <w:rFonts w:eastAsia="Lucida Sans Unicode"/>
          <w:kern w:val="2"/>
          <w:sz w:val="28"/>
          <w:szCs w:val="28"/>
        </w:rPr>
      </w:pPr>
    </w:p>
    <w:p>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pPr>
        <w:tabs>
          <w:tab w:val="left" w:pos="568"/>
        </w:tabs>
        <w:ind w:firstLine="5580"/>
        <w:jc w:val="center"/>
        <w:rPr>
          <w:rFonts w:eastAsia="Lucida Sans Unicode"/>
          <w:kern w:val="2"/>
          <w:sz w:val="28"/>
          <w:szCs w:val="28"/>
        </w:rPr>
      </w:pPr>
      <w:r>
        <w:rPr>
          <w:rFonts w:eastAsia="Lucida Sans Unicode"/>
          <w:kern w:val="2"/>
          <w:sz w:val="28"/>
          <w:szCs w:val="28"/>
        </w:rPr>
        <w:t>от 15.12.2022 № 147</w:t>
      </w:r>
    </w:p>
    <w:p>
      <w:pPr>
        <w:tabs>
          <w:tab w:val="left" w:pos="568"/>
        </w:tabs>
        <w:ind w:firstLine="5580"/>
        <w:jc w:val="center"/>
        <w:rPr>
          <w:rFonts w:eastAsia="Lucida Sans Unicode"/>
          <w:kern w:val="2"/>
          <w:sz w:val="28"/>
          <w:szCs w:val="28"/>
        </w:rPr>
      </w:pPr>
    </w:p>
    <w:p>
      <w:pPr>
        <w:jc w:val="center"/>
        <w:rPr>
          <w:b/>
        </w:rPr>
      </w:pPr>
      <w:r>
        <w:rPr>
          <w:b/>
        </w:rPr>
        <w:t>Распределение бюджетных ассигнований по разделам, подразделам классификации расходов бюджета на 2023 год и на плановый период 2024 и 2025 годов</w:t>
      </w:r>
    </w:p>
    <w:p>
      <w:pPr>
        <w:tabs>
          <w:tab w:val="left" w:pos="568"/>
        </w:tabs>
        <w:ind w:hanging="11"/>
        <w:jc w:val="center"/>
        <w:rPr>
          <w:b/>
        </w:rPr>
      </w:pPr>
    </w:p>
    <w:p>
      <w:pPr>
        <w:jc w:val="right"/>
      </w:pPr>
      <w:r>
        <w:t>(тыс. руб.)</w:t>
      </w:r>
    </w:p>
    <w:tbl>
      <w:tblPr>
        <w:tblStyle w:val="12"/>
        <w:tblW w:w="4971" w:type="pct"/>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5"/>
        <w:gridCol w:w="709"/>
        <w:gridCol w:w="425"/>
        <w:gridCol w:w="992"/>
        <w:gridCol w:w="992"/>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803" w:type="pct"/>
            <w:vMerge w:val="restart"/>
            <w:shd w:val="clear" w:color="auto" w:fill="auto"/>
            <w:noWrap w:val="0"/>
            <w:tcMar>
              <w:left w:w="28" w:type="dxa"/>
              <w:right w:w="28" w:type="dxa"/>
            </w:tcMar>
            <w:vAlign w:val="center"/>
          </w:tcPr>
          <w:p>
            <w:pPr>
              <w:jc w:val="center"/>
              <w:rPr>
                <w:b/>
                <w:bCs/>
                <w:sz w:val="20"/>
                <w:szCs w:val="20"/>
              </w:rPr>
            </w:pPr>
            <w:r>
              <w:rPr>
                <w:b/>
                <w:bCs/>
                <w:sz w:val="20"/>
                <w:szCs w:val="20"/>
              </w:rPr>
              <w:t>Наименование</w:t>
            </w:r>
          </w:p>
        </w:tc>
        <w:tc>
          <w:tcPr>
            <w:tcW w:w="606" w:type="pct"/>
            <w:gridSpan w:val="2"/>
            <w:shd w:val="clear" w:color="auto" w:fill="auto"/>
            <w:noWrap w:val="0"/>
            <w:tcMar>
              <w:left w:w="28" w:type="dxa"/>
              <w:right w:w="28" w:type="dxa"/>
            </w:tcMar>
            <w:vAlign w:val="center"/>
          </w:tcPr>
          <w:p>
            <w:pPr>
              <w:autoSpaceDE/>
              <w:autoSpaceDN/>
              <w:jc w:val="center"/>
              <w:rPr>
                <w:b/>
                <w:bCs/>
                <w:sz w:val="20"/>
                <w:szCs w:val="20"/>
              </w:rPr>
            </w:pPr>
            <w:r>
              <w:rPr>
                <w:b/>
                <w:bCs/>
                <w:sz w:val="20"/>
                <w:szCs w:val="20"/>
              </w:rPr>
              <w:t>Код бюджетной</w:t>
            </w:r>
          </w:p>
          <w:p>
            <w:pPr>
              <w:autoSpaceDE/>
              <w:autoSpaceDN/>
              <w:jc w:val="center"/>
              <w:rPr>
                <w:b/>
                <w:bCs/>
                <w:sz w:val="20"/>
                <w:szCs w:val="20"/>
              </w:rPr>
            </w:pPr>
            <w:r>
              <w:rPr>
                <w:b/>
                <w:bCs/>
                <w:sz w:val="20"/>
                <w:szCs w:val="20"/>
              </w:rPr>
              <w:t>классификации</w:t>
            </w:r>
          </w:p>
        </w:tc>
        <w:tc>
          <w:tcPr>
            <w:tcW w:w="530" w:type="pct"/>
            <w:vMerge w:val="restart"/>
            <w:shd w:val="clear" w:color="auto" w:fill="auto"/>
            <w:noWrap w:val="0"/>
            <w:tcMar>
              <w:left w:w="28" w:type="dxa"/>
              <w:right w:w="28" w:type="dxa"/>
            </w:tcMar>
            <w:vAlign w:val="center"/>
          </w:tcPr>
          <w:p>
            <w:pPr>
              <w:jc w:val="center"/>
              <w:rPr>
                <w:b/>
                <w:bCs/>
                <w:sz w:val="22"/>
                <w:szCs w:val="22"/>
              </w:rPr>
            </w:pPr>
            <w:r>
              <w:rPr>
                <w:b/>
                <w:bCs/>
                <w:sz w:val="22"/>
                <w:szCs w:val="22"/>
              </w:rPr>
              <w:t>2023 год</w:t>
            </w:r>
          </w:p>
        </w:tc>
        <w:tc>
          <w:tcPr>
            <w:tcW w:w="530" w:type="pct"/>
            <w:vMerge w:val="restart"/>
            <w:noWrap w:val="0"/>
            <w:tcMar>
              <w:left w:w="28" w:type="dxa"/>
              <w:right w:w="28" w:type="dxa"/>
            </w:tcMar>
            <w:vAlign w:val="center"/>
          </w:tcPr>
          <w:p>
            <w:pPr>
              <w:jc w:val="center"/>
              <w:rPr>
                <w:b/>
                <w:bCs/>
                <w:sz w:val="22"/>
                <w:szCs w:val="22"/>
              </w:rPr>
            </w:pPr>
            <w:r>
              <w:rPr>
                <w:b/>
                <w:bCs/>
                <w:sz w:val="22"/>
                <w:szCs w:val="22"/>
              </w:rPr>
              <w:t>2024 год</w:t>
            </w:r>
          </w:p>
        </w:tc>
        <w:tc>
          <w:tcPr>
            <w:tcW w:w="531" w:type="pct"/>
            <w:vMerge w:val="restart"/>
            <w:noWrap w:val="0"/>
            <w:tcMar>
              <w:left w:w="28" w:type="dxa"/>
              <w:right w:w="28" w:type="dxa"/>
            </w:tcMar>
            <w:vAlign w:val="center"/>
          </w:tcPr>
          <w:p>
            <w:pPr>
              <w:jc w:val="center"/>
              <w:rPr>
                <w:b/>
                <w:bCs/>
                <w:sz w:val="22"/>
                <w:szCs w:val="22"/>
              </w:rPr>
            </w:pPr>
            <w:r>
              <w:rPr>
                <w:b/>
                <w:bCs/>
                <w:sz w:val="22"/>
                <w:szCs w:val="22"/>
              </w:rPr>
              <w:t>2025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vMerge w:val="continue"/>
            <w:shd w:val="clear" w:color="auto" w:fill="auto"/>
            <w:noWrap w:val="0"/>
            <w:tcMar>
              <w:left w:w="28" w:type="dxa"/>
              <w:right w:w="28" w:type="dxa"/>
            </w:tcMar>
            <w:vAlign w:val="center"/>
          </w:tcPr>
          <w:p>
            <w:pPr>
              <w:autoSpaceDE/>
              <w:autoSpaceDN/>
              <w:jc w:val="center"/>
              <w:rPr>
                <w:b/>
                <w:bCs/>
                <w:sz w:val="20"/>
                <w:szCs w:val="20"/>
              </w:rPr>
            </w:pPr>
          </w:p>
        </w:tc>
        <w:tc>
          <w:tcPr>
            <w:tcW w:w="379" w:type="pct"/>
            <w:shd w:val="clear" w:color="auto" w:fill="auto"/>
            <w:noWrap w:val="0"/>
            <w:tcMar>
              <w:left w:w="28" w:type="dxa"/>
              <w:right w:w="28" w:type="dxa"/>
            </w:tcMar>
            <w:vAlign w:val="center"/>
          </w:tcPr>
          <w:p>
            <w:pPr>
              <w:autoSpaceDE/>
              <w:autoSpaceDN/>
              <w:jc w:val="center"/>
              <w:rPr>
                <w:b/>
                <w:bCs/>
                <w:sz w:val="20"/>
                <w:szCs w:val="20"/>
              </w:rPr>
            </w:pPr>
            <w:r>
              <w:rPr>
                <w:b/>
                <w:bCs/>
                <w:sz w:val="20"/>
                <w:szCs w:val="20"/>
              </w:rPr>
              <w:t>Раздел</w:t>
            </w:r>
          </w:p>
        </w:tc>
        <w:tc>
          <w:tcPr>
            <w:tcW w:w="227" w:type="pct"/>
            <w:shd w:val="clear" w:color="auto" w:fill="auto"/>
            <w:noWrap w:val="0"/>
            <w:tcMar>
              <w:left w:w="28" w:type="dxa"/>
              <w:right w:w="28" w:type="dxa"/>
            </w:tcMar>
            <w:vAlign w:val="center"/>
          </w:tcPr>
          <w:p>
            <w:pPr>
              <w:autoSpaceDE/>
              <w:autoSpaceDN/>
              <w:jc w:val="center"/>
              <w:rPr>
                <w:b/>
                <w:bCs/>
                <w:sz w:val="20"/>
                <w:szCs w:val="20"/>
              </w:rPr>
            </w:pPr>
            <w:r>
              <w:rPr>
                <w:b/>
                <w:bCs/>
                <w:sz w:val="20"/>
                <w:szCs w:val="20"/>
              </w:rPr>
              <w:t>Подраздел</w:t>
            </w:r>
          </w:p>
        </w:tc>
        <w:tc>
          <w:tcPr>
            <w:tcW w:w="530" w:type="pct"/>
            <w:vMerge w:val="continue"/>
            <w:shd w:val="clear" w:color="auto" w:fill="auto"/>
            <w:noWrap w:val="0"/>
            <w:tcMar>
              <w:left w:w="28" w:type="dxa"/>
              <w:right w:w="28" w:type="dxa"/>
            </w:tcMar>
            <w:vAlign w:val="center"/>
          </w:tcPr>
          <w:p>
            <w:pPr>
              <w:autoSpaceDE/>
              <w:autoSpaceDN/>
              <w:jc w:val="center"/>
              <w:rPr>
                <w:b/>
                <w:bCs/>
                <w:sz w:val="22"/>
                <w:szCs w:val="22"/>
              </w:rPr>
            </w:pPr>
          </w:p>
        </w:tc>
        <w:tc>
          <w:tcPr>
            <w:tcW w:w="530" w:type="pct"/>
            <w:vMerge w:val="continue"/>
            <w:noWrap w:val="0"/>
            <w:tcMar>
              <w:left w:w="28" w:type="dxa"/>
              <w:right w:w="28" w:type="dxa"/>
            </w:tcMar>
            <w:vAlign w:val="top"/>
          </w:tcPr>
          <w:p>
            <w:pPr>
              <w:autoSpaceDE/>
              <w:autoSpaceDN/>
              <w:jc w:val="center"/>
              <w:rPr>
                <w:b/>
                <w:bCs/>
                <w:sz w:val="22"/>
                <w:szCs w:val="22"/>
              </w:rPr>
            </w:pPr>
          </w:p>
        </w:tc>
        <w:tc>
          <w:tcPr>
            <w:tcW w:w="531" w:type="pct"/>
            <w:vMerge w:val="continue"/>
            <w:noWrap w:val="0"/>
            <w:tcMar>
              <w:left w:w="28" w:type="dxa"/>
              <w:right w:w="28" w:type="dxa"/>
            </w:tcMar>
            <w:vAlign w:val="top"/>
          </w:tcPr>
          <w:p>
            <w:pPr>
              <w:autoSpaceDE/>
              <w:autoSpaceDN/>
              <w:jc w:val="center"/>
              <w:rPr>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b/>
                <w:bCs/>
                <w:color w:val="000000"/>
                <w:sz w:val="20"/>
                <w:szCs w:val="20"/>
              </w:rPr>
            </w:pPr>
            <w:r>
              <w:rPr>
                <w:b/>
                <w:bCs/>
                <w:color w:val="000000"/>
                <w:sz w:val="20"/>
                <w:szCs w:val="20"/>
              </w:rPr>
              <w:t>ОБЩЕГОСУДАРСТВЕННЫЕ ВОПРОСЫ</w:t>
            </w:r>
          </w:p>
        </w:tc>
        <w:tc>
          <w:tcPr>
            <w:tcW w:w="379"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01</w:t>
            </w:r>
          </w:p>
        </w:tc>
        <w:tc>
          <w:tcPr>
            <w:tcW w:w="227"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00</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236 410,83</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190 711,15</w:t>
            </w:r>
          </w:p>
        </w:tc>
        <w:tc>
          <w:tcPr>
            <w:tcW w:w="531"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207 814,46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Функционирование высшего должностного лица субъекта Российской Федерации и муниципального образования</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01</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02</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2 827,73</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2 963,42</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2 963,42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01</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03</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3 751,40</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3 909,90</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3 909,90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01</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04</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106 142,19</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100 974,53</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111 390,54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Судебная система</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01</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05</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4,90</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5,00</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01</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06</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18 549,42</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19 258,91</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19 258,91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Обеспечение проведения выборов и референдумов</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01</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07</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215,80</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0,00</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Резервные фонды</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01</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11</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53 174,64</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14 158,19</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20 818,09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Другие общегосударственные вопросы</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01</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13</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51 744,75</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49 441,20</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49 441,20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b/>
                <w:bCs/>
                <w:color w:val="000000"/>
                <w:sz w:val="20"/>
                <w:szCs w:val="20"/>
              </w:rPr>
            </w:pPr>
            <w:r>
              <w:rPr>
                <w:b/>
                <w:bCs/>
                <w:color w:val="000000"/>
                <w:sz w:val="20"/>
                <w:szCs w:val="20"/>
              </w:rPr>
              <w:t>НАЦИОНАЛЬНАЯ ОБОРОНА</w:t>
            </w:r>
          </w:p>
        </w:tc>
        <w:tc>
          <w:tcPr>
            <w:tcW w:w="379"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02</w:t>
            </w:r>
          </w:p>
        </w:tc>
        <w:tc>
          <w:tcPr>
            <w:tcW w:w="227"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00</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1 490,50</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1 555,30</w:t>
            </w:r>
          </w:p>
        </w:tc>
        <w:tc>
          <w:tcPr>
            <w:tcW w:w="531"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1 608,20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Мобилизационная и вневойсковая подготовка</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02</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03</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1 490,50</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1 555,30</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1 608,20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b/>
                <w:bCs/>
                <w:color w:val="000000"/>
                <w:sz w:val="20"/>
                <w:szCs w:val="20"/>
              </w:rPr>
            </w:pPr>
            <w:r>
              <w:rPr>
                <w:b/>
                <w:bCs/>
                <w:color w:val="000000"/>
                <w:sz w:val="20"/>
                <w:szCs w:val="20"/>
              </w:rPr>
              <w:t>НАЦИОНАЛЬНАЯ БЕЗОПАСНОСТЬ И ПРАВООХРАНИТЕЛЬНАЯ ДЕЯТЕЛЬНОСТЬ</w:t>
            </w:r>
          </w:p>
        </w:tc>
        <w:tc>
          <w:tcPr>
            <w:tcW w:w="379"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03</w:t>
            </w:r>
          </w:p>
        </w:tc>
        <w:tc>
          <w:tcPr>
            <w:tcW w:w="227"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00</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36 600,66</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37 268,40</w:t>
            </w:r>
          </w:p>
        </w:tc>
        <w:tc>
          <w:tcPr>
            <w:tcW w:w="531"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37 268,40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03</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10</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36 600,66</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37 268,40</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37 268,40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b/>
                <w:bCs/>
                <w:color w:val="000000"/>
                <w:sz w:val="20"/>
                <w:szCs w:val="20"/>
              </w:rPr>
            </w:pPr>
            <w:r>
              <w:rPr>
                <w:b/>
                <w:bCs/>
                <w:color w:val="000000"/>
                <w:sz w:val="20"/>
                <w:szCs w:val="20"/>
              </w:rPr>
              <w:t>НАЦИОНАЛЬНАЯ ЭКОНОМИКА</w:t>
            </w:r>
          </w:p>
        </w:tc>
        <w:tc>
          <w:tcPr>
            <w:tcW w:w="379"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04</w:t>
            </w:r>
          </w:p>
        </w:tc>
        <w:tc>
          <w:tcPr>
            <w:tcW w:w="227"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00</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224 543,74</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209 102,80</w:t>
            </w:r>
          </w:p>
        </w:tc>
        <w:tc>
          <w:tcPr>
            <w:tcW w:w="531"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212 952,50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Общеэкономические вопросы</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04</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01</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2 132,09</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2 132,09</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2 132,09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Сельское хозяйство и рыболовство</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04</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05</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130 205,96</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135 037,18</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135 343,88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Дорожное хозяйство (дорожные фонды)</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04</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09</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73 622,02</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53 779,41</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57 322,41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Связь и информатика</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04</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10</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3 685,82</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3 685,82</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3 685,82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Другие вопросы в области национальной экономики</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04</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12</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14 897,85</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14 468,30</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14 468,30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b/>
                <w:bCs/>
                <w:color w:val="000000"/>
                <w:sz w:val="20"/>
                <w:szCs w:val="20"/>
              </w:rPr>
            </w:pPr>
            <w:r>
              <w:rPr>
                <w:b/>
                <w:bCs/>
                <w:color w:val="000000"/>
                <w:sz w:val="20"/>
                <w:szCs w:val="20"/>
              </w:rPr>
              <w:t>ЖИЛИЩНО-КОММУНАЛЬНОЕ ХОЗЯЙСТВО</w:t>
            </w:r>
          </w:p>
        </w:tc>
        <w:tc>
          <w:tcPr>
            <w:tcW w:w="379"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05</w:t>
            </w:r>
          </w:p>
        </w:tc>
        <w:tc>
          <w:tcPr>
            <w:tcW w:w="227"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00</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320 259,26</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202 776,15</w:t>
            </w:r>
          </w:p>
        </w:tc>
        <w:tc>
          <w:tcPr>
            <w:tcW w:w="531"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145 399,24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Жилищное хозяйство</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05</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01</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10 424,54</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12 050,17</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7 204,16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Коммунальное хозяйство</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05</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02</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189 143,50</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70 008,10</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17 478,90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Благоустройство</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05</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03</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88 485,17</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87 165,03</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87 163,33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Другие вопросы в области жилищно-коммунального хозяйства</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05</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05</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32 206,05</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33 552,85</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33 552,85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b/>
                <w:bCs/>
                <w:color w:val="000000"/>
                <w:sz w:val="20"/>
                <w:szCs w:val="20"/>
              </w:rPr>
            </w:pPr>
            <w:r>
              <w:rPr>
                <w:b/>
                <w:bCs/>
                <w:color w:val="000000"/>
                <w:sz w:val="20"/>
                <w:szCs w:val="20"/>
              </w:rPr>
              <w:t>ОХРАНА ОКРУЖАЮЩЕЙ СРЕДЫ</w:t>
            </w:r>
          </w:p>
        </w:tc>
        <w:tc>
          <w:tcPr>
            <w:tcW w:w="379"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06</w:t>
            </w:r>
          </w:p>
        </w:tc>
        <w:tc>
          <w:tcPr>
            <w:tcW w:w="227"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00</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800,00</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0,00</w:t>
            </w:r>
          </w:p>
        </w:tc>
        <w:tc>
          <w:tcPr>
            <w:tcW w:w="531"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Сбор, удаление отходов и очистка сточных вод</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06</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02</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800,00</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0,00</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b/>
                <w:bCs/>
                <w:color w:val="000000"/>
                <w:sz w:val="20"/>
                <w:szCs w:val="20"/>
              </w:rPr>
            </w:pPr>
            <w:r>
              <w:rPr>
                <w:b/>
                <w:bCs/>
                <w:color w:val="000000"/>
                <w:sz w:val="20"/>
                <w:szCs w:val="20"/>
              </w:rPr>
              <w:t>ОБРАЗОВАНИЕ</w:t>
            </w:r>
          </w:p>
        </w:tc>
        <w:tc>
          <w:tcPr>
            <w:tcW w:w="379"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07</w:t>
            </w:r>
          </w:p>
        </w:tc>
        <w:tc>
          <w:tcPr>
            <w:tcW w:w="227"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00</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1 421 065,15</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1 430 880,39</w:t>
            </w:r>
          </w:p>
        </w:tc>
        <w:tc>
          <w:tcPr>
            <w:tcW w:w="531"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1 429 510,89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Дошкольное образование</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07</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01</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530 903,54</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536 139,62</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536 139,62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Общее образование</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07</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02</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696 258,05</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701 011,15</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699 641,65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Дополнительное образование детей</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07</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03</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134 277,99</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131 977,03</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131 977,03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Профессиональная подготовка, переподготовка и повышение квалификации</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07</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05</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200,64</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200,64</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Молодежная политика</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07</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07</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12 508,12</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12 707,79</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12 707,79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Другие вопросы в области образования</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07</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09</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46 916,81</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48 844,16</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48 844,16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b/>
                <w:bCs/>
                <w:color w:val="000000"/>
                <w:sz w:val="20"/>
                <w:szCs w:val="20"/>
              </w:rPr>
            </w:pPr>
            <w:r>
              <w:rPr>
                <w:b/>
                <w:bCs/>
                <w:color w:val="000000"/>
                <w:sz w:val="20"/>
                <w:szCs w:val="20"/>
              </w:rPr>
              <w:t>КУЛЬТУРА, КИНЕМАТОГРАФИЯ</w:t>
            </w:r>
          </w:p>
        </w:tc>
        <w:tc>
          <w:tcPr>
            <w:tcW w:w="379"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08</w:t>
            </w:r>
          </w:p>
        </w:tc>
        <w:tc>
          <w:tcPr>
            <w:tcW w:w="227"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00</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125 890,25</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116 156,47</w:t>
            </w:r>
          </w:p>
        </w:tc>
        <w:tc>
          <w:tcPr>
            <w:tcW w:w="531"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115 942,17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Культура</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08</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01</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117 907,92</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107 807,92</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107 593,62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Другие вопросы в области культуры, кинематографии</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08</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04</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7 982,33</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8 348,55</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8 348,55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b/>
                <w:bCs/>
                <w:color w:val="000000"/>
                <w:sz w:val="20"/>
                <w:szCs w:val="20"/>
              </w:rPr>
            </w:pPr>
            <w:r>
              <w:rPr>
                <w:b/>
                <w:bCs/>
                <w:color w:val="000000"/>
                <w:sz w:val="20"/>
                <w:szCs w:val="20"/>
              </w:rPr>
              <w:t>СОЦИАЛЬНАЯ ПОЛИТИКА</w:t>
            </w:r>
          </w:p>
        </w:tc>
        <w:tc>
          <w:tcPr>
            <w:tcW w:w="379"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10</w:t>
            </w:r>
          </w:p>
        </w:tc>
        <w:tc>
          <w:tcPr>
            <w:tcW w:w="227"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00</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73 355,15</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73 190,25</w:t>
            </w:r>
          </w:p>
        </w:tc>
        <w:tc>
          <w:tcPr>
            <w:tcW w:w="531"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77 446,85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Пенсионное обеспечение</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10</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01</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5 644,08</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5 644,08</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5 644,08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Социальное обеспечение населения</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10</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03</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1 271,60</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1 271,60</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5 488,70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Охрана семьи и детства</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10</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04</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64 123,30</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64 020,40</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64 059,90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Другие вопросы в области социальной политики</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10</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06</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2 316,17</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2 254,17</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2 254,17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b/>
                <w:bCs/>
                <w:color w:val="000000"/>
                <w:sz w:val="20"/>
                <w:szCs w:val="20"/>
              </w:rPr>
            </w:pPr>
            <w:r>
              <w:rPr>
                <w:b/>
                <w:bCs/>
                <w:color w:val="000000"/>
                <w:sz w:val="20"/>
                <w:szCs w:val="20"/>
              </w:rPr>
              <w:t>ФИЗИЧЕСКАЯ КУЛЬТУРА И СПОРТ</w:t>
            </w:r>
          </w:p>
        </w:tc>
        <w:tc>
          <w:tcPr>
            <w:tcW w:w="379"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11</w:t>
            </w:r>
          </w:p>
        </w:tc>
        <w:tc>
          <w:tcPr>
            <w:tcW w:w="227"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00</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60 346,77</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57 436,37</w:t>
            </w:r>
          </w:p>
        </w:tc>
        <w:tc>
          <w:tcPr>
            <w:tcW w:w="531"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57 436,37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Массовый спорт</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11</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02</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58 825,49</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55 842,11</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55 842,11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Другие вопросы в области физической культуры и спорта</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11</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05</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1 521,28</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1 594,26</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1 594,26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b/>
                <w:bCs/>
                <w:color w:val="000000"/>
                <w:sz w:val="20"/>
                <w:szCs w:val="20"/>
              </w:rPr>
            </w:pPr>
            <w:r>
              <w:rPr>
                <w:b/>
                <w:bCs/>
                <w:color w:val="000000"/>
                <w:sz w:val="20"/>
                <w:szCs w:val="20"/>
              </w:rPr>
              <w:t>СРЕДСТВА МАССОВОЙ ИНФОРМАЦИИ</w:t>
            </w:r>
          </w:p>
        </w:tc>
        <w:tc>
          <w:tcPr>
            <w:tcW w:w="379"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12</w:t>
            </w:r>
          </w:p>
        </w:tc>
        <w:tc>
          <w:tcPr>
            <w:tcW w:w="227"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00</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8 541,34</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6 814,62</w:t>
            </w:r>
          </w:p>
        </w:tc>
        <w:tc>
          <w:tcPr>
            <w:tcW w:w="531"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6 814,62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Телевидение и радиовещание</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12</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01</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3 656,94</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3 130,22</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3 130,22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Периодическая печать и издательства</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12</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02</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4 884,40</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3 684,40</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3 684,40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b/>
                <w:bCs/>
                <w:color w:val="000000"/>
                <w:sz w:val="20"/>
                <w:szCs w:val="20"/>
              </w:rPr>
            </w:pPr>
            <w:r>
              <w:rPr>
                <w:b/>
                <w:bCs/>
                <w:color w:val="000000"/>
                <w:sz w:val="20"/>
                <w:szCs w:val="20"/>
              </w:rPr>
              <w:t>ОБСЛУЖИВАНИЕ ГОСУДАРСТВЕННОГО (МУНИЦИПАЛЬНОГО) ДОЛГА</w:t>
            </w:r>
          </w:p>
        </w:tc>
        <w:tc>
          <w:tcPr>
            <w:tcW w:w="379"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13</w:t>
            </w:r>
          </w:p>
        </w:tc>
        <w:tc>
          <w:tcPr>
            <w:tcW w:w="227"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00</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1 134,25</w:t>
            </w:r>
          </w:p>
        </w:tc>
        <w:tc>
          <w:tcPr>
            <w:tcW w:w="530"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1 125,00</w:t>
            </w:r>
          </w:p>
        </w:tc>
        <w:tc>
          <w:tcPr>
            <w:tcW w:w="531" w:type="pct"/>
            <w:shd w:val="clear" w:color="auto" w:fill="auto"/>
            <w:noWrap/>
            <w:tcMar>
              <w:left w:w="28" w:type="dxa"/>
              <w:right w:w="28" w:type="dxa"/>
            </w:tcMar>
            <w:vAlign w:val="bottom"/>
          </w:tcPr>
          <w:p>
            <w:pPr>
              <w:jc w:val="center"/>
              <w:rPr>
                <w:b/>
                <w:bCs/>
                <w:color w:val="000000"/>
                <w:sz w:val="20"/>
                <w:szCs w:val="20"/>
              </w:rPr>
            </w:pPr>
            <w:r>
              <w:rPr>
                <w:b/>
                <w:bCs/>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color w:val="000000"/>
                <w:sz w:val="20"/>
                <w:szCs w:val="20"/>
              </w:rPr>
            </w:pPr>
            <w:r>
              <w:rPr>
                <w:color w:val="000000"/>
                <w:sz w:val="20"/>
                <w:szCs w:val="20"/>
              </w:rPr>
              <w:t>Обслуживание государственного (муниципального) внутреннего долга</w:t>
            </w:r>
          </w:p>
        </w:tc>
        <w:tc>
          <w:tcPr>
            <w:tcW w:w="379"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13</w:t>
            </w:r>
          </w:p>
        </w:tc>
        <w:tc>
          <w:tcPr>
            <w:tcW w:w="227" w:type="pct"/>
            <w:shd w:val="clear" w:color="auto" w:fill="auto"/>
            <w:noWrap/>
            <w:tcMar>
              <w:left w:w="28" w:type="dxa"/>
              <w:right w:w="28" w:type="dxa"/>
            </w:tcMar>
            <w:vAlign w:val="center"/>
          </w:tcPr>
          <w:p>
            <w:pPr>
              <w:autoSpaceDE/>
              <w:autoSpaceDN/>
              <w:jc w:val="center"/>
              <w:rPr>
                <w:color w:val="000000"/>
                <w:sz w:val="20"/>
                <w:szCs w:val="20"/>
              </w:rPr>
            </w:pPr>
            <w:r>
              <w:rPr>
                <w:color w:val="000000"/>
                <w:sz w:val="20"/>
                <w:szCs w:val="20"/>
              </w:rPr>
              <w:t>01</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1 134,25</w:t>
            </w:r>
          </w:p>
        </w:tc>
        <w:tc>
          <w:tcPr>
            <w:tcW w:w="530" w:type="pct"/>
            <w:shd w:val="clear" w:color="auto" w:fill="auto"/>
            <w:noWrap/>
            <w:tcMar>
              <w:left w:w="28" w:type="dxa"/>
              <w:right w:w="28" w:type="dxa"/>
            </w:tcMar>
            <w:vAlign w:val="bottom"/>
          </w:tcPr>
          <w:p>
            <w:pPr>
              <w:jc w:val="center"/>
              <w:rPr>
                <w:color w:val="000000"/>
                <w:sz w:val="20"/>
                <w:szCs w:val="20"/>
              </w:rPr>
            </w:pPr>
            <w:r>
              <w:rPr>
                <w:color w:val="000000"/>
                <w:sz w:val="20"/>
                <w:szCs w:val="20"/>
              </w:rPr>
              <w:t>1 125,00</w:t>
            </w:r>
          </w:p>
        </w:tc>
        <w:tc>
          <w:tcPr>
            <w:tcW w:w="531" w:type="pct"/>
            <w:shd w:val="clear" w:color="auto" w:fill="auto"/>
            <w:noWrap/>
            <w:tcMar>
              <w:left w:w="28" w:type="dxa"/>
              <w:right w:w="28" w:type="dxa"/>
            </w:tcMar>
            <w:vAlign w:val="bottom"/>
          </w:tcPr>
          <w:p>
            <w:pPr>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803" w:type="pct"/>
            <w:shd w:val="clear" w:color="auto" w:fill="auto"/>
            <w:noWrap/>
            <w:tcMar>
              <w:left w:w="28" w:type="dxa"/>
              <w:right w:w="28" w:type="dxa"/>
            </w:tcMar>
            <w:vAlign w:val="center"/>
          </w:tcPr>
          <w:p>
            <w:pPr>
              <w:autoSpaceDE/>
              <w:autoSpaceDN/>
              <w:jc w:val="both"/>
              <w:rPr>
                <w:b/>
                <w:bCs/>
                <w:color w:val="000000"/>
                <w:sz w:val="20"/>
                <w:szCs w:val="20"/>
              </w:rPr>
            </w:pPr>
            <w:r>
              <w:rPr>
                <w:b/>
                <w:bCs/>
                <w:color w:val="000000"/>
                <w:sz w:val="20"/>
                <w:szCs w:val="20"/>
              </w:rPr>
              <w:t>Всего</w:t>
            </w:r>
          </w:p>
        </w:tc>
        <w:tc>
          <w:tcPr>
            <w:tcW w:w="379"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 </w:t>
            </w:r>
          </w:p>
        </w:tc>
        <w:tc>
          <w:tcPr>
            <w:tcW w:w="227" w:type="pct"/>
            <w:shd w:val="clear" w:color="auto" w:fill="auto"/>
            <w:noWrap/>
            <w:tcMar>
              <w:left w:w="28" w:type="dxa"/>
              <w:right w:w="28" w:type="dxa"/>
            </w:tcMar>
            <w:vAlign w:val="center"/>
          </w:tcPr>
          <w:p>
            <w:pPr>
              <w:autoSpaceDE/>
              <w:autoSpaceDN/>
              <w:jc w:val="center"/>
              <w:rPr>
                <w:b/>
                <w:bCs/>
                <w:color w:val="000000"/>
                <w:sz w:val="20"/>
                <w:szCs w:val="20"/>
              </w:rPr>
            </w:pPr>
            <w:r>
              <w:rPr>
                <w:b/>
                <w:bCs/>
                <w:color w:val="000000"/>
                <w:sz w:val="20"/>
                <w:szCs w:val="20"/>
              </w:rPr>
              <w:t> </w:t>
            </w:r>
          </w:p>
        </w:tc>
        <w:tc>
          <w:tcPr>
            <w:tcW w:w="530" w:type="pct"/>
            <w:shd w:val="clear" w:color="auto" w:fill="auto"/>
            <w:noWrap/>
            <w:tcMar>
              <w:left w:w="28" w:type="dxa"/>
              <w:right w:w="28" w:type="dxa"/>
            </w:tcMar>
            <w:vAlign w:val="bottom"/>
          </w:tcPr>
          <w:p>
            <w:pPr>
              <w:jc w:val="center"/>
              <w:rPr>
                <w:b/>
                <w:bCs/>
                <w:color w:val="000000"/>
                <w:sz w:val="17"/>
                <w:szCs w:val="17"/>
              </w:rPr>
            </w:pPr>
            <w:r>
              <w:rPr>
                <w:b/>
                <w:bCs/>
                <w:color w:val="000000"/>
                <w:sz w:val="17"/>
                <w:szCs w:val="17"/>
              </w:rPr>
              <w:t>2 510 437,90</w:t>
            </w:r>
          </w:p>
        </w:tc>
        <w:tc>
          <w:tcPr>
            <w:tcW w:w="530" w:type="pct"/>
            <w:shd w:val="clear" w:color="auto" w:fill="auto"/>
            <w:noWrap/>
            <w:tcMar>
              <w:left w:w="28" w:type="dxa"/>
              <w:right w:w="28" w:type="dxa"/>
            </w:tcMar>
            <w:vAlign w:val="bottom"/>
          </w:tcPr>
          <w:p>
            <w:pPr>
              <w:jc w:val="center"/>
              <w:rPr>
                <w:b/>
                <w:bCs/>
                <w:color w:val="000000"/>
                <w:sz w:val="17"/>
                <w:szCs w:val="17"/>
              </w:rPr>
            </w:pPr>
            <w:r>
              <w:rPr>
                <w:b/>
                <w:bCs/>
                <w:color w:val="000000"/>
                <w:sz w:val="17"/>
                <w:szCs w:val="17"/>
              </w:rPr>
              <w:t>2 327 016,90</w:t>
            </w:r>
          </w:p>
        </w:tc>
        <w:tc>
          <w:tcPr>
            <w:tcW w:w="531" w:type="pct"/>
            <w:shd w:val="clear" w:color="auto" w:fill="auto"/>
            <w:noWrap/>
            <w:tcMar>
              <w:left w:w="28" w:type="dxa"/>
              <w:right w:w="28" w:type="dxa"/>
            </w:tcMar>
            <w:vAlign w:val="bottom"/>
          </w:tcPr>
          <w:p>
            <w:pPr>
              <w:jc w:val="center"/>
              <w:rPr>
                <w:b/>
                <w:bCs/>
                <w:color w:val="000000"/>
                <w:sz w:val="17"/>
                <w:szCs w:val="17"/>
              </w:rPr>
            </w:pPr>
            <w:r>
              <w:rPr>
                <w:b/>
                <w:bCs/>
                <w:color w:val="000000"/>
                <w:sz w:val="17"/>
                <w:szCs w:val="17"/>
              </w:rPr>
              <w:t>2 292 193,70</w:t>
            </w:r>
          </w:p>
        </w:tc>
      </w:tr>
    </w:tbl>
    <w:p>
      <w:pPr>
        <w:jc w:val="center"/>
        <w:rPr>
          <w:sz w:val="28"/>
          <w:szCs w:val="28"/>
        </w:rPr>
      </w:pPr>
    </w:p>
    <w:p>
      <w:pPr>
        <w:jc w:val="center"/>
        <w:rPr>
          <w:sz w:val="28"/>
          <w:szCs w:val="28"/>
        </w:rPr>
      </w:pPr>
      <w:r>
        <w:rPr>
          <w:sz w:val="28"/>
          <w:szCs w:val="28"/>
        </w:rPr>
        <w:t>______________________</w:t>
      </w:r>
    </w:p>
    <w:p>
      <w:pPr>
        <w:tabs>
          <w:tab w:val="left" w:pos="568"/>
        </w:tabs>
        <w:ind w:firstLine="5580"/>
        <w:jc w:val="center"/>
        <w:rPr>
          <w:rFonts w:eastAsia="Lucida Sans Unicode"/>
          <w:kern w:val="2"/>
          <w:sz w:val="28"/>
          <w:szCs w:val="28"/>
        </w:rPr>
        <w:sectPr>
          <w:pgSz w:w="11906" w:h="16838"/>
          <w:pgMar w:top="1134" w:right="849" w:bottom="1134" w:left="1701" w:header="709" w:footer="709" w:gutter="0"/>
          <w:pgNumType w:start="1"/>
          <w:cols w:space="708" w:num="1"/>
          <w:titlePg/>
          <w:docGrid w:linePitch="360" w:charSpace="0"/>
        </w:sectPr>
      </w:pPr>
    </w:p>
    <w:p>
      <w:pPr>
        <w:tabs>
          <w:tab w:val="left" w:pos="568"/>
        </w:tabs>
        <w:ind w:firstLine="5580"/>
        <w:jc w:val="center"/>
        <w:rPr>
          <w:rFonts w:eastAsia="Lucida Sans Unicode"/>
          <w:kern w:val="2"/>
          <w:sz w:val="28"/>
          <w:szCs w:val="28"/>
        </w:rPr>
        <w:sectPr>
          <w:type w:val="continuous"/>
          <w:pgSz w:w="11906" w:h="16838"/>
          <w:pgMar w:top="1134" w:right="849" w:bottom="1134" w:left="1701" w:header="709" w:footer="709" w:gutter="0"/>
          <w:pgNumType w:start="1"/>
          <w:cols w:space="708" w:num="1"/>
          <w:titlePg/>
          <w:docGrid w:linePitch="360" w:charSpace="0"/>
        </w:sectPr>
      </w:pPr>
    </w:p>
    <w:p>
      <w:pPr>
        <w:tabs>
          <w:tab w:val="left" w:pos="568"/>
        </w:tabs>
        <w:ind w:firstLine="5580"/>
        <w:jc w:val="center"/>
        <w:rPr>
          <w:rFonts w:eastAsia="Lucida Sans Unicode"/>
          <w:kern w:val="2"/>
          <w:sz w:val="28"/>
          <w:szCs w:val="28"/>
        </w:rPr>
      </w:pPr>
      <w:r>
        <w:rPr>
          <w:rFonts w:eastAsia="Lucida Sans Unicode"/>
          <w:kern w:val="2"/>
          <w:sz w:val="28"/>
          <w:szCs w:val="28"/>
        </w:rPr>
        <w:t>ПРИЛОЖЕНИЕ 7</w:t>
      </w:r>
    </w:p>
    <w:p>
      <w:pPr>
        <w:tabs>
          <w:tab w:val="left" w:pos="568"/>
        </w:tabs>
        <w:ind w:firstLine="5580"/>
        <w:jc w:val="center"/>
        <w:rPr>
          <w:rFonts w:eastAsia="Lucida Sans Unicode"/>
          <w:kern w:val="2"/>
          <w:sz w:val="28"/>
          <w:szCs w:val="28"/>
        </w:rPr>
      </w:pPr>
    </w:p>
    <w:p>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pPr>
        <w:tabs>
          <w:tab w:val="left" w:pos="568"/>
        </w:tabs>
        <w:ind w:firstLine="5580"/>
        <w:jc w:val="center"/>
        <w:rPr>
          <w:rFonts w:eastAsia="Lucida Sans Unicode"/>
          <w:kern w:val="2"/>
          <w:sz w:val="28"/>
          <w:szCs w:val="28"/>
        </w:rPr>
      </w:pPr>
      <w:r>
        <w:rPr>
          <w:rFonts w:eastAsia="Lucida Sans Unicode"/>
          <w:kern w:val="2"/>
          <w:sz w:val="28"/>
          <w:szCs w:val="28"/>
        </w:rPr>
        <w:t xml:space="preserve"> от 15.12.2022 № 147</w:t>
      </w:r>
    </w:p>
    <w:p>
      <w:pPr>
        <w:jc w:val="center"/>
        <w:rPr>
          <w:b/>
        </w:rPr>
      </w:pPr>
    </w:p>
    <w:p>
      <w:pPr>
        <w:jc w:val="center"/>
        <w:rPr>
          <w:b/>
        </w:rPr>
      </w:pPr>
      <w:r>
        <w:rPr>
          <w:b/>
        </w:rPr>
        <w:t>Перечень публичных нормативных обязательств, подлежащих исполнению за счет средств бюджета на 2023 год и на плановый период 2024 и 2025 годов</w:t>
      </w:r>
    </w:p>
    <w:p>
      <w:pPr>
        <w:jc w:val="center"/>
        <w:rPr>
          <w:rFonts w:ascii="Arial" w:hAnsi="Arial" w:cs="Arial"/>
          <w:b/>
          <w:sz w:val="22"/>
          <w:szCs w:val="22"/>
        </w:rPr>
      </w:pPr>
    </w:p>
    <w:p>
      <w:pPr>
        <w:jc w:val="right"/>
      </w:pPr>
      <w:r>
        <w:t>(тыс. руб.)</w:t>
      </w:r>
    </w:p>
    <w:tbl>
      <w:tblPr>
        <w:tblStyle w:val="12"/>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
        <w:gridCol w:w="3324"/>
        <w:gridCol w:w="3211"/>
        <w:gridCol w:w="826"/>
        <w:gridCol w:w="826"/>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rPr>
            </w:pPr>
            <w:r>
              <w:rPr>
                <w:b/>
                <w:sz w:val="22"/>
                <w:szCs w:val="22"/>
              </w:rPr>
              <w:t>№</w:t>
            </w:r>
          </w:p>
          <w:p>
            <w:pPr>
              <w:jc w:val="center"/>
              <w:rPr>
                <w:b/>
              </w:rPr>
            </w:pPr>
            <w:r>
              <w:rPr>
                <w:b/>
                <w:sz w:val="22"/>
                <w:szCs w:val="22"/>
              </w:rPr>
              <w:t>п/п</w:t>
            </w:r>
          </w:p>
        </w:tc>
        <w:tc>
          <w:tcPr>
            <w:tcW w:w="1865"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rPr>
            </w:pPr>
            <w:r>
              <w:rPr>
                <w:b/>
                <w:sz w:val="22"/>
                <w:szCs w:val="22"/>
              </w:rPr>
              <w:t>Нормативный правовой акт Богородского муниципального округа Нижегородской области</w:t>
            </w:r>
          </w:p>
        </w:tc>
        <w:tc>
          <w:tcPr>
            <w:tcW w:w="1772"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rPr>
            </w:pPr>
            <w:r>
              <w:rPr>
                <w:b/>
                <w:sz w:val="22"/>
                <w:szCs w:val="22"/>
              </w:rPr>
              <w:t>Льготы и социальные выплаты, устанавливаемые нормативными правовыми актами</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rPr>
            </w:pPr>
            <w:r>
              <w:rPr>
                <w:b/>
                <w:bCs/>
                <w:sz w:val="22"/>
                <w:szCs w:val="22"/>
              </w:rPr>
              <w:t>2023 год</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rPr>
            </w:pPr>
            <w:r>
              <w:rPr>
                <w:b/>
                <w:bCs/>
                <w:sz w:val="22"/>
                <w:szCs w:val="22"/>
              </w:rPr>
              <w:t>2024 год</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rPr>
            </w:pPr>
            <w:r>
              <w:rPr>
                <w:b/>
                <w:bCs/>
                <w:sz w:val="22"/>
                <w:szCs w:val="22"/>
              </w:rPr>
              <w:t>2025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vMerge w:val="restart"/>
            <w:tcBorders>
              <w:top w:val="single" w:color="auto" w:sz="4" w:space="0"/>
              <w:left w:val="single" w:color="auto" w:sz="4" w:space="0"/>
              <w:right w:val="single" w:color="auto" w:sz="4" w:space="0"/>
            </w:tcBorders>
            <w:noWrap w:val="0"/>
            <w:tcMar>
              <w:left w:w="28" w:type="dxa"/>
              <w:right w:w="28" w:type="dxa"/>
            </w:tcMar>
            <w:vAlign w:val="center"/>
          </w:tcPr>
          <w:p>
            <w:pPr>
              <w:jc w:val="center"/>
              <w:rPr>
                <w:b/>
              </w:rPr>
            </w:pPr>
            <w:r>
              <w:rPr>
                <w:b/>
              </w:rPr>
              <w:t>1</w:t>
            </w:r>
          </w:p>
        </w:tc>
        <w:tc>
          <w:tcPr>
            <w:tcW w:w="1865" w:type="pct"/>
            <w:tcBorders>
              <w:top w:val="single" w:color="auto" w:sz="4" w:space="0"/>
              <w:left w:val="single" w:color="auto" w:sz="4" w:space="0"/>
              <w:bottom w:val="single" w:color="auto" w:sz="4" w:space="0"/>
              <w:right w:val="single" w:color="auto" w:sz="4" w:space="0"/>
            </w:tcBorders>
            <w:noWrap w:val="0"/>
            <w:tcMar>
              <w:left w:w="28" w:type="dxa"/>
              <w:right w:w="28" w:type="dxa"/>
            </w:tcMar>
            <w:vAlign w:val="top"/>
          </w:tcPr>
          <w:p>
            <w:pPr>
              <w:jc w:val="center"/>
            </w:pPr>
            <w:r>
              <w:rPr>
                <w:sz w:val="22"/>
                <w:szCs w:val="22"/>
              </w:rPr>
              <w:t>Решение Совета депутатов Богородского муниципального округа Нижегородской области от 30.08.2022 №102 «Об утверждении порядка предоставления ежемесячной выплаты семьям, имеющим пятерых и более детей на территории Богородского муниципального округа Нижегородской области»</w:t>
            </w:r>
          </w:p>
        </w:tc>
        <w:tc>
          <w:tcPr>
            <w:tcW w:w="1772"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1.1.Ежемесячная выплата</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216,00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216,00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216,00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vMerge w:val="continue"/>
            <w:tcBorders>
              <w:left w:val="single" w:color="auto" w:sz="4" w:space="0"/>
              <w:bottom w:val="single" w:color="auto" w:sz="4" w:space="0"/>
              <w:right w:val="single" w:color="auto" w:sz="4" w:space="0"/>
            </w:tcBorders>
            <w:noWrap w:val="0"/>
            <w:tcMar>
              <w:left w:w="28" w:type="dxa"/>
              <w:right w:w="28" w:type="dxa"/>
            </w:tcMar>
            <w:vAlign w:val="center"/>
          </w:tcPr>
          <w:p>
            <w:pPr>
              <w:jc w:val="center"/>
              <w:rPr>
                <w:b/>
              </w:rPr>
            </w:pPr>
          </w:p>
        </w:tc>
        <w:tc>
          <w:tcPr>
            <w:tcW w:w="363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rPr>
            </w:pPr>
            <w:r>
              <w:rPr>
                <w:b/>
                <w:sz w:val="22"/>
                <w:szCs w:val="22"/>
              </w:rPr>
              <w:t>Всего</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b/>
                <w:sz w:val="22"/>
                <w:szCs w:val="22"/>
              </w:rPr>
              <w:t>216,00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b/>
                <w:sz w:val="22"/>
                <w:szCs w:val="22"/>
              </w:rPr>
              <w:t>216,00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b/>
                <w:sz w:val="22"/>
                <w:szCs w:val="22"/>
              </w:rPr>
              <w:t>216,00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vMerge w:val="restart"/>
            <w:tcBorders>
              <w:top w:val="single" w:color="auto" w:sz="4" w:space="0"/>
              <w:left w:val="single" w:color="auto" w:sz="4" w:space="0"/>
              <w:right w:val="single" w:color="auto" w:sz="4" w:space="0"/>
            </w:tcBorders>
            <w:shd w:val="clear" w:color="auto" w:fill="auto"/>
            <w:noWrap w:val="0"/>
            <w:tcMar>
              <w:left w:w="28" w:type="dxa"/>
              <w:right w:w="28" w:type="dxa"/>
            </w:tcMar>
            <w:vAlign w:val="center"/>
          </w:tcPr>
          <w:p>
            <w:pPr>
              <w:jc w:val="center"/>
              <w:rPr>
                <w:b/>
                <w:sz w:val="22"/>
                <w:szCs w:val="22"/>
              </w:rPr>
            </w:pPr>
            <w:r>
              <w:rPr>
                <w:b/>
                <w:sz w:val="22"/>
                <w:szCs w:val="22"/>
              </w:rPr>
              <w:t>2</w:t>
            </w:r>
          </w:p>
        </w:tc>
        <w:tc>
          <w:tcPr>
            <w:tcW w:w="1865" w:type="pct"/>
            <w:vMerge w:val="restart"/>
            <w:tcBorders>
              <w:top w:val="single" w:color="auto" w:sz="4" w:space="0"/>
              <w:left w:val="single" w:color="auto" w:sz="4" w:space="0"/>
              <w:right w:val="single" w:color="auto" w:sz="4" w:space="0"/>
            </w:tcBorders>
            <w:shd w:val="clear" w:color="auto" w:fill="auto"/>
            <w:noWrap w:val="0"/>
            <w:tcMar>
              <w:left w:w="28" w:type="dxa"/>
              <w:right w:w="28" w:type="dxa"/>
            </w:tcMar>
            <w:vAlign w:val="center"/>
          </w:tcPr>
          <w:p>
            <w:pPr>
              <w:jc w:val="center"/>
              <w:rPr>
                <w:sz w:val="22"/>
                <w:szCs w:val="22"/>
              </w:rPr>
            </w:pPr>
            <w:r>
              <w:rPr>
                <w:sz w:val="22"/>
                <w:szCs w:val="22"/>
              </w:rPr>
              <w:t>Решение Совета депутатов Богородского муниципального округа Нижегородской области от 24.06.2021 № 115 «Об утверждении Порядка присвоения почетного звания «Почетный гражданин Богородского муниципального округа Нижегородской области»</w:t>
            </w:r>
          </w:p>
        </w:tc>
        <w:tc>
          <w:tcPr>
            <w:tcW w:w="1772"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pPr>
            <w:r>
              <w:rPr>
                <w:sz w:val="22"/>
                <w:szCs w:val="22"/>
              </w:rPr>
              <w:t>2.1.Ежемесячная выплата</w:t>
            </w:r>
          </w:p>
        </w:tc>
        <w:tc>
          <w:tcPr>
            <w:tcW w:w="44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2"/>
                <w:szCs w:val="22"/>
              </w:rPr>
            </w:pPr>
            <w:r>
              <w:rPr>
                <w:sz w:val="22"/>
                <w:szCs w:val="22"/>
              </w:rPr>
              <w:t>36,0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36,0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vMerge w:val="continue"/>
            <w:tcBorders>
              <w:left w:val="single" w:color="auto" w:sz="4" w:space="0"/>
              <w:right w:val="single" w:color="auto" w:sz="4" w:space="0"/>
            </w:tcBorders>
            <w:shd w:val="clear" w:color="auto" w:fill="auto"/>
            <w:noWrap w:val="0"/>
            <w:tcMar>
              <w:left w:w="28" w:type="dxa"/>
              <w:right w:w="28" w:type="dxa"/>
            </w:tcMar>
            <w:vAlign w:val="center"/>
          </w:tcPr>
          <w:p>
            <w:pPr>
              <w:jc w:val="center"/>
              <w:rPr>
                <w:b/>
                <w:sz w:val="22"/>
                <w:szCs w:val="22"/>
              </w:rPr>
            </w:pPr>
          </w:p>
        </w:tc>
        <w:tc>
          <w:tcPr>
            <w:tcW w:w="1865" w:type="pct"/>
            <w:vMerge w:val="continue"/>
            <w:tcBorders>
              <w:left w:val="single" w:color="auto" w:sz="4" w:space="0"/>
              <w:right w:val="single" w:color="auto" w:sz="4" w:space="0"/>
            </w:tcBorders>
            <w:shd w:val="clear" w:color="auto" w:fill="auto"/>
            <w:noWrap w:val="0"/>
            <w:tcMar>
              <w:left w:w="28" w:type="dxa"/>
              <w:right w:w="28" w:type="dxa"/>
            </w:tcMar>
            <w:vAlign w:val="center"/>
          </w:tcPr>
          <w:p>
            <w:pPr>
              <w:jc w:val="center"/>
              <w:rPr>
                <w:sz w:val="22"/>
                <w:szCs w:val="22"/>
              </w:rPr>
            </w:pPr>
          </w:p>
        </w:tc>
        <w:tc>
          <w:tcPr>
            <w:tcW w:w="1772"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pPr>
            <w:r>
              <w:rPr>
                <w:sz w:val="22"/>
                <w:szCs w:val="22"/>
              </w:rPr>
              <w:t>2.2.Единовременная выплата на санаторно-курортное лечение</w:t>
            </w:r>
          </w:p>
        </w:tc>
        <w:tc>
          <w:tcPr>
            <w:tcW w:w="44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2"/>
                <w:szCs w:val="22"/>
              </w:rPr>
            </w:pPr>
            <w:r>
              <w:rPr>
                <w:sz w:val="22"/>
                <w:szCs w:val="22"/>
              </w:rPr>
              <w:t>10,0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10,0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vMerge w:val="continue"/>
            <w:tcBorders>
              <w:left w:val="single" w:color="auto" w:sz="4" w:space="0"/>
              <w:right w:val="single" w:color="auto" w:sz="4" w:space="0"/>
            </w:tcBorders>
            <w:shd w:val="clear" w:color="auto" w:fill="auto"/>
            <w:noWrap w:val="0"/>
            <w:tcMar>
              <w:left w:w="28" w:type="dxa"/>
              <w:right w:w="28" w:type="dxa"/>
            </w:tcMar>
            <w:vAlign w:val="center"/>
          </w:tcPr>
          <w:p>
            <w:pPr>
              <w:jc w:val="center"/>
              <w:rPr>
                <w:b/>
                <w:sz w:val="22"/>
                <w:szCs w:val="22"/>
              </w:rPr>
            </w:pPr>
          </w:p>
        </w:tc>
        <w:tc>
          <w:tcPr>
            <w:tcW w:w="1865" w:type="pct"/>
            <w:vMerge w:val="continue"/>
            <w:tcBorders>
              <w:left w:val="single" w:color="auto" w:sz="4" w:space="0"/>
              <w:right w:val="single" w:color="auto" w:sz="4" w:space="0"/>
            </w:tcBorders>
            <w:shd w:val="clear" w:color="auto" w:fill="auto"/>
            <w:noWrap w:val="0"/>
            <w:tcMar>
              <w:left w:w="28" w:type="dxa"/>
              <w:right w:w="28" w:type="dxa"/>
            </w:tcMar>
            <w:vAlign w:val="center"/>
          </w:tcPr>
          <w:p>
            <w:pPr>
              <w:jc w:val="center"/>
              <w:rPr>
                <w:sz w:val="22"/>
                <w:szCs w:val="22"/>
              </w:rPr>
            </w:pPr>
          </w:p>
        </w:tc>
        <w:tc>
          <w:tcPr>
            <w:tcW w:w="1772"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pPr>
            <w:r>
              <w:rPr>
                <w:sz w:val="22"/>
                <w:szCs w:val="22"/>
              </w:rPr>
              <w:t>2.3.Компнсация за проезд в автомобильном транспорте</w:t>
            </w:r>
          </w:p>
        </w:tc>
        <w:tc>
          <w:tcPr>
            <w:tcW w:w="44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2"/>
                <w:szCs w:val="22"/>
              </w:rPr>
            </w:pPr>
            <w:r>
              <w:rPr>
                <w:sz w:val="22"/>
                <w:szCs w:val="22"/>
              </w:rPr>
              <w:t>1,5</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1,5</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vMerge w:val="continue"/>
            <w:tcBorders>
              <w:left w:val="single" w:color="auto" w:sz="4" w:space="0"/>
              <w:right w:val="single" w:color="auto" w:sz="4" w:space="0"/>
            </w:tcBorders>
            <w:shd w:val="clear" w:color="auto" w:fill="auto"/>
            <w:noWrap w:val="0"/>
            <w:tcMar>
              <w:left w:w="28" w:type="dxa"/>
              <w:right w:w="28" w:type="dxa"/>
            </w:tcMar>
            <w:vAlign w:val="center"/>
          </w:tcPr>
          <w:p>
            <w:pPr>
              <w:jc w:val="center"/>
              <w:rPr>
                <w:b/>
                <w:sz w:val="22"/>
                <w:szCs w:val="22"/>
              </w:rPr>
            </w:pPr>
          </w:p>
        </w:tc>
        <w:tc>
          <w:tcPr>
            <w:tcW w:w="1865" w:type="pct"/>
            <w:vMerge w:val="continue"/>
            <w:tcBorders>
              <w:left w:val="single" w:color="auto" w:sz="4" w:space="0"/>
              <w:right w:val="single" w:color="auto" w:sz="4" w:space="0"/>
            </w:tcBorders>
            <w:shd w:val="clear" w:color="auto" w:fill="auto"/>
            <w:noWrap w:val="0"/>
            <w:tcMar>
              <w:left w:w="28" w:type="dxa"/>
              <w:right w:w="28" w:type="dxa"/>
            </w:tcMar>
            <w:vAlign w:val="center"/>
          </w:tcPr>
          <w:p>
            <w:pPr>
              <w:jc w:val="center"/>
              <w:rPr>
                <w:sz w:val="22"/>
                <w:szCs w:val="22"/>
              </w:rPr>
            </w:pPr>
          </w:p>
        </w:tc>
        <w:tc>
          <w:tcPr>
            <w:tcW w:w="1772"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pPr>
            <w:r>
              <w:rPr>
                <w:sz w:val="22"/>
                <w:szCs w:val="22"/>
              </w:rPr>
              <w:t>2.4. Единовременная денежная выплата ко Дню города</w:t>
            </w:r>
          </w:p>
        </w:tc>
        <w:tc>
          <w:tcPr>
            <w:tcW w:w="44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2"/>
                <w:szCs w:val="22"/>
              </w:rPr>
            </w:pPr>
            <w:r>
              <w:rPr>
                <w:sz w:val="22"/>
                <w:szCs w:val="22"/>
              </w:rPr>
              <w:t>2,0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2,0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vMerge w:val="continue"/>
            <w:tcBorders>
              <w:left w:val="single" w:color="auto" w:sz="4" w:space="0"/>
              <w:right w:val="single" w:color="auto" w:sz="4" w:space="0"/>
            </w:tcBorders>
            <w:shd w:val="clear" w:color="auto" w:fill="auto"/>
            <w:noWrap w:val="0"/>
            <w:tcMar>
              <w:left w:w="28" w:type="dxa"/>
              <w:right w:w="28" w:type="dxa"/>
            </w:tcMar>
            <w:vAlign w:val="center"/>
          </w:tcPr>
          <w:p>
            <w:pPr>
              <w:jc w:val="center"/>
              <w:rPr>
                <w:b/>
              </w:rPr>
            </w:pPr>
          </w:p>
        </w:tc>
        <w:tc>
          <w:tcPr>
            <w:tcW w:w="1865" w:type="pct"/>
            <w:tcBorders>
              <w:left w:val="single" w:color="auto" w:sz="4" w:space="0"/>
              <w:right w:val="single" w:color="auto" w:sz="4" w:space="0"/>
            </w:tcBorders>
            <w:shd w:val="clear" w:color="auto" w:fill="auto"/>
            <w:noWrap w:val="0"/>
            <w:tcMar>
              <w:left w:w="28" w:type="dxa"/>
              <w:right w:w="28" w:type="dxa"/>
            </w:tcMar>
            <w:vAlign w:val="center"/>
          </w:tcPr>
          <w:p>
            <w:r>
              <w:rPr>
                <w:b/>
                <w:sz w:val="22"/>
                <w:szCs w:val="22"/>
              </w:rPr>
              <w:t>Всего</w:t>
            </w:r>
          </w:p>
        </w:tc>
        <w:tc>
          <w:tcPr>
            <w:tcW w:w="1772"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rPr>
            </w:pPr>
          </w:p>
        </w:tc>
        <w:tc>
          <w:tcPr>
            <w:tcW w:w="44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rPr>
            </w:pPr>
            <w:r>
              <w:rPr>
                <w:b/>
              </w:rPr>
              <w:t>49,5</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rPr>
            </w:pPr>
            <w:r>
              <w:rPr>
                <w:b/>
              </w:rPr>
              <w:t>49,5</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rPr>
            </w:pPr>
            <w:r>
              <w:rPr>
                <w:b/>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vMerge w:val="restart"/>
            <w:tcBorders>
              <w:top w:val="single" w:color="auto" w:sz="4" w:space="0"/>
              <w:left w:val="single" w:color="auto" w:sz="4" w:space="0"/>
              <w:right w:val="single" w:color="auto" w:sz="4" w:space="0"/>
            </w:tcBorders>
            <w:shd w:val="clear" w:color="auto" w:fill="auto"/>
            <w:noWrap w:val="0"/>
            <w:tcMar>
              <w:left w:w="28" w:type="dxa"/>
              <w:right w:w="28" w:type="dxa"/>
            </w:tcMar>
            <w:vAlign w:val="center"/>
          </w:tcPr>
          <w:p>
            <w:pPr>
              <w:jc w:val="center"/>
              <w:rPr>
                <w:b/>
              </w:rPr>
            </w:pPr>
            <w:r>
              <w:rPr>
                <w:b/>
                <w:sz w:val="22"/>
                <w:szCs w:val="22"/>
              </w:rPr>
              <w:t>3.</w:t>
            </w:r>
          </w:p>
        </w:tc>
        <w:tc>
          <w:tcPr>
            <w:tcW w:w="1865" w:type="pct"/>
            <w:vMerge w:val="restart"/>
            <w:tcBorders>
              <w:top w:val="single" w:color="auto" w:sz="4" w:space="0"/>
              <w:left w:val="single" w:color="auto" w:sz="4" w:space="0"/>
              <w:right w:val="single" w:color="auto" w:sz="4" w:space="0"/>
            </w:tcBorders>
            <w:shd w:val="clear" w:color="auto" w:fill="auto"/>
            <w:noWrap w:val="0"/>
            <w:tcMar>
              <w:left w:w="28" w:type="dxa"/>
              <w:right w:w="28" w:type="dxa"/>
            </w:tcMar>
            <w:vAlign w:val="center"/>
          </w:tcPr>
          <w:p>
            <w:pPr>
              <w:jc w:val="center"/>
              <w:rPr>
                <w:b/>
              </w:rPr>
            </w:pPr>
            <w:r>
              <w:rPr>
                <w:sz w:val="22"/>
                <w:szCs w:val="22"/>
              </w:rPr>
              <w:t>Решение Земского собрания Богородского района Нижегородской области от 28.08.2009 № 82 «Об утверждении Положения о присвоении звания «Почетный гражданин Богородского района Нижегородской области», состава комиссии по присвоению звания «Почетный гражданин Богородского района Нижегородской области» (С учетом изменений, внесенных Решениями Земского собрания Богородского муниципального района Нижегородской области 03.12.2009 № 157, от 26.06.2012 № 78, от 14.12.2012 № 155, от 18.06.2014 № 48, от 18.02.2016 № 20, от 27.04.2017 № 55, от 22.06.2017 №59, от 14.05.2020 №54)</w:t>
            </w:r>
          </w:p>
        </w:tc>
        <w:tc>
          <w:tcPr>
            <w:tcW w:w="1772"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pPr>
            <w:r>
              <w:rPr>
                <w:sz w:val="22"/>
                <w:szCs w:val="22"/>
              </w:rPr>
              <w:t>3.1.Ежемесячная выплата</w:t>
            </w:r>
          </w:p>
        </w:tc>
        <w:tc>
          <w:tcPr>
            <w:tcW w:w="44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pPr>
            <w:r>
              <w:rPr>
                <w:sz w:val="22"/>
                <w:szCs w:val="22"/>
              </w:rPr>
              <w:t>432,00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432,00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432,00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rPr>
            </w:pPr>
          </w:p>
        </w:tc>
        <w:tc>
          <w:tcPr>
            <w:tcW w:w="1865"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rPr>
            </w:pPr>
          </w:p>
        </w:tc>
        <w:tc>
          <w:tcPr>
            <w:tcW w:w="1772"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pPr>
            <w:r>
              <w:rPr>
                <w:sz w:val="22"/>
                <w:szCs w:val="22"/>
              </w:rPr>
              <w:t>3.2.Единовременная выплата на санаторно-курортное лечение</w:t>
            </w:r>
          </w:p>
        </w:tc>
        <w:tc>
          <w:tcPr>
            <w:tcW w:w="44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pPr>
            <w:r>
              <w:rPr>
                <w:sz w:val="22"/>
                <w:szCs w:val="22"/>
              </w:rPr>
              <w:t>120,00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120,00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rPr>
            </w:pPr>
          </w:p>
        </w:tc>
        <w:tc>
          <w:tcPr>
            <w:tcW w:w="1865"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rPr>
            </w:pPr>
          </w:p>
        </w:tc>
        <w:tc>
          <w:tcPr>
            <w:tcW w:w="1772"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pPr>
            <w:r>
              <w:rPr>
                <w:sz w:val="22"/>
                <w:szCs w:val="22"/>
              </w:rPr>
              <w:t>3.3.Компнсация за проезд в автомобильном транспорте</w:t>
            </w:r>
          </w:p>
        </w:tc>
        <w:tc>
          <w:tcPr>
            <w:tcW w:w="44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pPr>
            <w:r>
              <w:rPr>
                <w:sz w:val="22"/>
                <w:szCs w:val="22"/>
              </w:rPr>
              <w:t>18,00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18,00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rPr>
            </w:pPr>
          </w:p>
        </w:tc>
        <w:tc>
          <w:tcPr>
            <w:tcW w:w="1865" w:type="pct"/>
            <w:vMerge w:val="continue"/>
            <w:tcBorders>
              <w:left w:val="single" w:color="auto" w:sz="4" w:space="0"/>
              <w:bottom w:val="single" w:color="auto" w:sz="4" w:space="0"/>
              <w:right w:val="single" w:color="auto" w:sz="4" w:space="0"/>
            </w:tcBorders>
            <w:shd w:val="clear" w:color="auto" w:fill="auto"/>
            <w:noWrap w:val="0"/>
            <w:tcMar>
              <w:left w:w="28" w:type="dxa"/>
              <w:right w:w="28" w:type="dxa"/>
            </w:tcMar>
            <w:vAlign w:val="center"/>
          </w:tcPr>
          <w:p>
            <w:pPr>
              <w:autoSpaceDE/>
              <w:autoSpaceDN/>
              <w:jc w:val="center"/>
              <w:rPr>
                <w:b/>
              </w:rPr>
            </w:pPr>
          </w:p>
        </w:tc>
        <w:tc>
          <w:tcPr>
            <w:tcW w:w="1772"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pPr>
            <w:r>
              <w:rPr>
                <w:sz w:val="22"/>
                <w:szCs w:val="22"/>
              </w:rPr>
              <w:t>3.4. Единовременная денежная выплата ко Дню города</w:t>
            </w:r>
          </w:p>
        </w:tc>
        <w:tc>
          <w:tcPr>
            <w:tcW w:w="44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pPr>
            <w:r>
              <w:rPr>
                <w:sz w:val="22"/>
                <w:szCs w:val="22"/>
              </w:rPr>
              <w:t>24,00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24,00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vMerge w:val="continue"/>
            <w:tcBorders>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rPr>
            </w:pPr>
          </w:p>
        </w:tc>
        <w:tc>
          <w:tcPr>
            <w:tcW w:w="3638"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r>
              <w:rPr>
                <w:b/>
                <w:sz w:val="22"/>
                <w:szCs w:val="22"/>
              </w:rPr>
              <w:t>Всего</w:t>
            </w:r>
          </w:p>
        </w:tc>
        <w:tc>
          <w:tcPr>
            <w:tcW w:w="44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rPr>
            </w:pPr>
            <w:r>
              <w:rPr>
                <w:b/>
                <w:sz w:val="22"/>
                <w:szCs w:val="22"/>
              </w:rPr>
              <w:t>594,00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rPr>
            </w:pPr>
            <w:r>
              <w:rPr>
                <w:b/>
                <w:sz w:val="22"/>
                <w:szCs w:val="22"/>
              </w:rPr>
              <w:t>594,00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rPr>
            </w:pPr>
            <w:r>
              <w:rPr>
                <w:b/>
                <w:sz w:val="22"/>
                <w:szCs w:val="22"/>
              </w:rPr>
              <w:t>594,00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vMerge w:val="restart"/>
            <w:tcBorders>
              <w:top w:val="single" w:color="auto" w:sz="4" w:space="0"/>
              <w:left w:val="single" w:color="auto" w:sz="4" w:space="0"/>
              <w:right w:val="single" w:color="auto" w:sz="4" w:space="0"/>
            </w:tcBorders>
            <w:noWrap w:val="0"/>
            <w:tcMar>
              <w:left w:w="28" w:type="dxa"/>
              <w:right w:w="28" w:type="dxa"/>
            </w:tcMar>
            <w:vAlign w:val="center"/>
          </w:tcPr>
          <w:p>
            <w:pPr>
              <w:jc w:val="center"/>
              <w:rPr>
                <w:b/>
              </w:rPr>
            </w:pPr>
            <w:r>
              <w:rPr>
                <w:b/>
                <w:sz w:val="22"/>
                <w:szCs w:val="22"/>
              </w:rPr>
              <w:t>4.</w:t>
            </w:r>
          </w:p>
        </w:tc>
        <w:tc>
          <w:tcPr>
            <w:tcW w:w="1865"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rPr>
            </w:pPr>
            <w:r>
              <w:rPr>
                <w:sz w:val="22"/>
                <w:szCs w:val="22"/>
              </w:rPr>
              <w:t>Решение Земского собрания Богородского муниципального района Нижегородской области от 20.02.2014 № 14 «Об утверждении Положения о ежемесячной выплате неработающим пенсионерам, удостоенным за высокие показатели в труде указами Президента Российской Федерации звания «Заслуженный работник» (С учетом изменений, внесенных Решением Земского собрания Богородского муниципального района Нижегородской области от 28.12.2017 №153)</w:t>
            </w:r>
          </w:p>
        </w:tc>
        <w:tc>
          <w:tcPr>
            <w:tcW w:w="1772"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4.1.Ежемесячные выплаты</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150,00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150,00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sz w:val="22"/>
                <w:szCs w:val="22"/>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vMerge w:val="continue"/>
            <w:tcBorders>
              <w:left w:val="single" w:color="auto" w:sz="4" w:space="0"/>
              <w:bottom w:val="single" w:color="auto" w:sz="4" w:space="0"/>
              <w:right w:val="single" w:color="auto" w:sz="4" w:space="0"/>
            </w:tcBorders>
            <w:noWrap w:val="0"/>
            <w:tcMar>
              <w:left w:w="28" w:type="dxa"/>
              <w:right w:w="28" w:type="dxa"/>
            </w:tcMar>
            <w:vAlign w:val="center"/>
          </w:tcPr>
          <w:p>
            <w:pPr>
              <w:jc w:val="center"/>
              <w:rPr>
                <w:b/>
              </w:rPr>
            </w:pPr>
          </w:p>
        </w:tc>
        <w:tc>
          <w:tcPr>
            <w:tcW w:w="363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rPr>
            </w:pPr>
            <w:r>
              <w:rPr>
                <w:b/>
                <w:sz w:val="22"/>
                <w:szCs w:val="22"/>
              </w:rPr>
              <w:t>Всего</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rPr>
            </w:pPr>
            <w:r>
              <w:rPr>
                <w:b/>
                <w:sz w:val="22"/>
                <w:szCs w:val="22"/>
              </w:rPr>
              <w:t>150,00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rPr>
            </w:pPr>
            <w:r>
              <w:rPr>
                <w:b/>
                <w:sz w:val="22"/>
                <w:szCs w:val="22"/>
              </w:rPr>
              <w:t>150,00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rPr>
            </w:pPr>
            <w:r>
              <w:rPr>
                <w:b/>
                <w:sz w:val="22"/>
                <w:szCs w:val="22"/>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trPr>
        <w:tc>
          <w:tcPr>
            <w:tcW w:w="198" w:type="pct"/>
            <w:vMerge w:val="restart"/>
            <w:tcBorders>
              <w:top w:val="single" w:color="auto" w:sz="4" w:space="0"/>
              <w:left w:val="single" w:color="auto" w:sz="4" w:space="0"/>
              <w:right w:val="single" w:color="auto" w:sz="4" w:space="0"/>
            </w:tcBorders>
            <w:noWrap w:val="0"/>
            <w:tcMar>
              <w:left w:w="28" w:type="dxa"/>
              <w:right w:w="28" w:type="dxa"/>
            </w:tcMar>
            <w:vAlign w:val="center"/>
          </w:tcPr>
          <w:p>
            <w:pPr>
              <w:jc w:val="center"/>
              <w:rPr>
                <w:b/>
              </w:rPr>
            </w:pPr>
            <w:r>
              <w:rPr>
                <w:b/>
              </w:rPr>
              <w:t>5.</w:t>
            </w:r>
          </w:p>
        </w:tc>
        <w:tc>
          <w:tcPr>
            <w:tcW w:w="1865" w:type="pct"/>
            <w:vMerge w:val="restart"/>
            <w:tcBorders>
              <w:top w:val="single" w:color="auto" w:sz="4" w:space="0"/>
              <w:left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Решение городской Думы г. Богородск Богородского района Нижегородской области от 03.06.2008 № 34 «Об утверждении Положения о присвоении звания «Почетный гражданин города Богородска» (С учетом изменений, внесенных Решениями городской Думы г. Богородск Богородского района Нижегородской области от 07.07.2009 №44, от 14.12.2012 №68, от 22.06.2015 №23, от 15.03.2016 №6)</w:t>
            </w:r>
          </w:p>
        </w:tc>
        <w:tc>
          <w:tcPr>
            <w:tcW w:w="1772"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5.1. Ежемесячное пособие</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36,00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36,00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trPr>
        <w:tc>
          <w:tcPr>
            <w:tcW w:w="198" w:type="pct"/>
            <w:vMerge w:val="continue"/>
            <w:tcBorders>
              <w:left w:val="single" w:color="auto" w:sz="4" w:space="0"/>
              <w:right w:val="single" w:color="auto" w:sz="4" w:space="0"/>
            </w:tcBorders>
            <w:noWrap w:val="0"/>
            <w:tcMar>
              <w:left w:w="28" w:type="dxa"/>
              <w:right w:w="28" w:type="dxa"/>
            </w:tcMar>
            <w:vAlign w:val="center"/>
          </w:tcPr>
          <w:p>
            <w:pPr>
              <w:jc w:val="center"/>
              <w:rPr>
                <w:b/>
              </w:rPr>
            </w:pPr>
          </w:p>
        </w:tc>
        <w:tc>
          <w:tcPr>
            <w:tcW w:w="1865" w:type="pct"/>
            <w:vMerge w:val="continue"/>
            <w:tcBorders>
              <w:left w:val="single" w:color="auto" w:sz="4" w:space="0"/>
              <w:right w:val="single" w:color="auto" w:sz="4" w:space="0"/>
            </w:tcBorders>
            <w:noWrap w:val="0"/>
            <w:tcMar>
              <w:left w:w="28" w:type="dxa"/>
              <w:right w:w="28" w:type="dxa"/>
            </w:tcMar>
            <w:vAlign w:val="center"/>
          </w:tcPr>
          <w:p>
            <w:pPr>
              <w:jc w:val="center"/>
              <w:rPr>
                <w:sz w:val="22"/>
                <w:szCs w:val="22"/>
              </w:rPr>
            </w:pPr>
          </w:p>
        </w:tc>
        <w:tc>
          <w:tcPr>
            <w:tcW w:w="1772"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5.2. Единовременная денежная выплата ко Дню города</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5,00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5,00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trPr>
        <w:tc>
          <w:tcPr>
            <w:tcW w:w="198" w:type="pct"/>
            <w:vMerge w:val="continue"/>
            <w:tcBorders>
              <w:left w:val="single" w:color="auto" w:sz="4" w:space="0"/>
              <w:right w:val="single" w:color="auto" w:sz="4" w:space="0"/>
            </w:tcBorders>
            <w:noWrap w:val="0"/>
            <w:tcMar>
              <w:left w:w="28" w:type="dxa"/>
              <w:right w:w="28" w:type="dxa"/>
            </w:tcMar>
            <w:vAlign w:val="center"/>
          </w:tcPr>
          <w:p>
            <w:pPr>
              <w:jc w:val="center"/>
              <w:rPr>
                <w:b/>
              </w:rPr>
            </w:pPr>
          </w:p>
        </w:tc>
        <w:tc>
          <w:tcPr>
            <w:tcW w:w="1865" w:type="pct"/>
            <w:vMerge w:val="continue"/>
            <w:tcBorders>
              <w:left w:val="single" w:color="auto" w:sz="4" w:space="0"/>
              <w:right w:val="single" w:color="auto" w:sz="4" w:space="0"/>
            </w:tcBorders>
            <w:noWrap w:val="0"/>
            <w:tcMar>
              <w:left w:w="28" w:type="dxa"/>
              <w:right w:w="28" w:type="dxa"/>
            </w:tcMar>
            <w:vAlign w:val="center"/>
          </w:tcPr>
          <w:p>
            <w:pPr>
              <w:adjustRightInd w:val="0"/>
              <w:jc w:val="both"/>
              <w:rPr>
                <w:sz w:val="22"/>
                <w:szCs w:val="22"/>
              </w:rPr>
            </w:pPr>
          </w:p>
        </w:tc>
        <w:tc>
          <w:tcPr>
            <w:tcW w:w="1772"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djustRightInd w:val="0"/>
              <w:jc w:val="center"/>
              <w:rPr>
                <w:sz w:val="22"/>
                <w:szCs w:val="22"/>
              </w:rPr>
            </w:pPr>
            <w:r>
              <w:rPr>
                <w:sz w:val="22"/>
                <w:szCs w:val="22"/>
              </w:rPr>
              <w:t>5.3. Выплата на санаторно-курортное лечение</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10,00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5,00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trPr>
        <w:tc>
          <w:tcPr>
            <w:tcW w:w="198" w:type="pct"/>
            <w:vMerge w:val="continue"/>
            <w:tcBorders>
              <w:left w:val="single" w:color="auto" w:sz="4" w:space="0"/>
              <w:right w:val="single" w:color="auto" w:sz="4" w:space="0"/>
            </w:tcBorders>
            <w:noWrap w:val="0"/>
            <w:tcMar>
              <w:left w:w="28" w:type="dxa"/>
              <w:right w:w="28" w:type="dxa"/>
            </w:tcMar>
            <w:vAlign w:val="center"/>
          </w:tcPr>
          <w:p>
            <w:pPr>
              <w:jc w:val="center"/>
              <w:rPr>
                <w:b/>
              </w:rPr>
            </w:pPr>
          </w:p>
        </w:tc>
        <w:tc>
          <w:tcPr>
            <w:tcW w:w="1865" w:type="pct"/>
            <w:vMerge w:val="continue"/>
            <w:tcBorders>
              <w:left w:val="single" w:color="auto" w:sz="4" w:space="0"/>
              <w:bottom w:val="single" w:color="auto" w:sz="4" w:space="0"/>
              <w:right w:val="single" w:color="auto" w:sz="4" w:space="0"/>
            </w:tcBorders>
            <w:noWrap w:val="0"/>
            <w:tcMar>
              <w:left w:w="28" w:type="dxa"/>
              <w:right w:w="28" w:type="dxa"/>
            </w:tcMar>
            <w:vAlign w:val="center"/>
          </w:tcPr>
          <w:p>
            <w:pPr>
              <w:adjustRightInd w:val="0"/>
              <w:jc w:val="both"/>
              <w:rPr>
                <w:sz w:val="22"/>
                <w:szCs w:val="22"/>
              </w:rPr>
            </w:pPr>
          </w:p>
        </w:tc>
        <w:tc>
          <w:tcPr>
            <w:tcW w:w="1772"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djustRightInd w:val="0"/>
              <w:jc w:val="center"/>
              <w:rPr>
                <w:sz w:val="22"/>
                <w:szCs w:val="22"/>
              </w:rPr>
            </w:pPr>
            <w:r>
              <w:rPr>
                <w:sz w:val="22"/>
                <w:szCs w:val="22"/>
              </w:rPr>
              <w:t>5.4. Компенсация за проезд в автомобильном транспорте</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1,50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1,50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2"/>
                <w:szCs w:val="22"/>
              </w:rPr>
            </w:pPr>
            <w:r>
              <w:rPr>
                <w:sz w:val="22"/>
                <w:szCs w:val="22"/>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vMerge w:val="continue"/>
            <w:tcBorders>
              <w:left w:val="single" w:color="auto" w:sz="4" w:space="0"/>
              <w:bottom w:val="single" w:color="auto" w:sz="4" w:space="0"/>
              <w:right w:val="single" w:color="auto" w:sz="4" w:space="0"/>
            </w:tcBorders>
            <w:noWrap w:val="0"/>
            <w:tcMar>
              <w:left w:w="28" w:type="dxa"/>
              <w:right w:w="28" w:type="dxa"/>
            </w:tcMar>
            <w:vAlign w:val="center"/>
          </w:tcPr>
          <w:p>
            <w:pPr>
              <w:jc w:val="center"/>
              <w:rPr>
                <w:b/>
              </w:rPr>
            </w:pPr>
          </w:p>
        </w:tc>
        <w:tc>
          <w:tcPr>
            <w:tcW w:w="363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rPr>
            </w:pPr>
            <w:r>
              <w:rPr>
                <w:b/>
                <w:sz w:val="22"/>
                <w:szCs w:val="22"/>
              </w:rPr>
              <w:t>Всего</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rPr>
            </w:pPr>
            <w:r>
              <w:rPr>
                <w:b/>
                <w:sz w:val="22"/>
                <w:szCs w:val="22"/>
              </w:rPr>
              <w:t>52,50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rPr>
            </w:pPr>
            <w:r>
              <w:rPr>
                <w:b/>
                <w:sz w:val="22"/>
                <w:szCs w:val="22"/>
              </w:rPr>
              <w:t>52,50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rPr>
            </w:pPr>
            <w:r>
              <w:rPr>
                <w:b/>
                <w:sz w:val="22"/>
                <w:szCs w:val="22"/>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98"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rPr>
            </w:pPr>
          </w:p>
        </w:tc>
        <w:tc>
          <w:tcPr>
            <w:tcW w:w="363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r>
              <w:rPr>
                <w:b/>
                <w:sz w:val="22"/>
                <w:szCs w:val="22"/>
              </w:rPr>
              <w:t>ИТОГО</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2"/>
                <w:szCs w:val="22"/>
              </w:rPr>
            </w:pPr>
            <w:r>
              <w:rPr>
                <w:b/>
                <w:sz w:val="22"/>
                <w:szCs w:val="22"/>
                <w:lang w:val="en-US"/>
              </w:rPr>
              <w:t>1 </w:t>
            </w:r>
            <w:r>
              <w:rPr>
                <w:b/>
                <w:sz w:val="22"/>
                <w:szCs w:val="22"/>
              </w:rPr>
              <w:t>062</w:t>
            </w:r>
            <w:r>
              <w:rPr>
                <w:b/>
                <w:sz w:val="22"/>
                <w:szCs w:val="22"/>
                <w:lang w:val="en-US"/>
              </w:rPr>
              <w:t>,</w:t>
            </w:r>
            <w:r>
              <w:rPr>
                <w:b/>
                <w:sz w:val="22"/>
                <w:szCs w:val="22"/>
              </w:rPr>
              <w:t>00</w:t>
            </w:r>
          </w:p>
        </w:tc>
        <w:tc>
          <w:tcPr>
            <w:tcW w:w="441"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2"/>
                <w:szCs w:val="22"/>
              </w:rPr>
            </w:pPr>
            <w:r>
              <w:rPr>
                <w:b/>
                <w:sz w:val="22"/>
                <w:szCs w:val="22"/>
                <w:lang w:val="en-US"/>
              </w:rPr>
              <w:t>1 </w:t>
            </w:r>
            <w:r>
              <w:rPr>
                <w:b/>
                <w:sz w:val="22"/>
                <w:szCs w:val="22"/>
              </w:rPr>
              <w:t>062</w:t>
            </w:r>
            <w:r>
              <w:rPr>
                <w:b/>
                <w:sz w:val="22"/>
                <w:szCs w:val="22"/>
                <w:lang w:val="en-US"/>
              </w:rPr>
              <w:t>,</w:t>
            </w:r>
            <w:r>
              <w:rPr>
                <w:b/>
                <w:sz w:val="22"/>
                <w:szCs w:val="22"/>
              </w:rPr>
              <w:t>00</w:t>
            </w:r>
          </w:p>
        </w:tc>
        <w:tc>
          <w:tcPr>
            <w:tcW w:w="28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pPr>
            <w:r>
              <w:rPr>
                <w:b/>
                <w:sz w:val="22"/>
                <w:szCs w:val="22"/>
              </w:rPr>
              <w:t>1 062,00</w:t>
            </w:r>
          </w:p>
        </w:tc>
      </w:tr>
    </w:tbl>
    <w:p>
      <w:pPr>
        <w:jc w:val="center"/>
        <w:rPr>
          <w:sz w:val="28"/>
          <w:szCs w:val="28"/>
        </w:rPr>
      </w:pPr>
    </w:p>
    <w:p>
      <w:pPr>
        <w:jc w:val="center"/>
        <w:rPr>
          <w:sz w:val="28"/>
          <w:szCs w:val="28"/>
        </w:rPr>
      </w:pPr>
      <w:r>
        <w:rPr>
          <w:sz w:val="28"/>
          <w:szCs w:val="28"/>
        </w:rPr>
        <w:t>_________________</w:t>
      </w:r>
    </w:p>
    <w:p>
      <w:pPr>
        <w:tabs>
          <w:tab w:val="left" w:pos="568"/>
        </w:tabs>
        <w:ind w:firstLine="5580"/>
        <w:jc w:val="center"/>
        <w:rPr>
          <w:rFonts w:eastAsia="Lucida Sans Unicode"/>
          <w:kern w:val="2"/>
          <w:sz w:val="28"/>
          <w:szCs w:val="28"/>
        </w:rPr>
      </w:pPr>
      <w:r>
        <w:rPr>
          <w:rFonts w:eastAsia="Lucida Sans Unicode"/>
          <w:kern w:val="2"/>
          <w:sz w:val="28"/>
          <w:szCs w:val="28"/>
        </w:rPr>
        <w:t xml:space="preserve"> </w:t>
      </w:r>
    </w:p>
    <w:p>
      <w:pPr>
        <w:tabs>
          <w:tab w:val="left" w:pos="568"/>
        </w:tabs>
        <w:jc w:val="center"/>
        <w:rPr>
          <w:rFonts w:eastAsia="Lucida Sans Unicode"/>
          <w:kern w:val="2"/>
        </w:rPr>
        <w:sectPr>
          <w:pgSz w:w="11906" w:h="16838"/>
          <w:pgMar w:top="1134" w:right="849" w:bottom="1134" w:left="1701" w:header="709" w:footer="709" w:gutter="0"/>
          <w:pgNumType w:start="1"/>
          <w:cols w:space="708" w:num="1"/>
          <w:titlePg/>
          <w:docGrid w:linePitch="360" w:charSpace="0"/>
        </w:sectPr>
      </w:pPr>
    </w:p>
    <w:p>
      <w:pPr>
        <w:tabs>
          <w:tab w:val="left" w:pos="568"/>
        </w:tabs>
        <w:ind w:firstLine="5580"/>
        <w:jc w:val="center"/>
        <w:rPr>
          <w:rFonts w:eastAsia="Lucida Sans Unicode"/>
          <w:kern w:val="2"/>
          <w:sz w:val="28"/>
          <w:szCs w:val="28"/>
        </w:rPr>
      </w:pPr>
      <w:r>
        <w:rPr>
          <w:rFonts w:eastAsia="Lucida Sans Unicode"/>
          <w:kern w:val="2"/>
          <w:sz w:val="28"/>
          <w:szCs w:val="28"/>
        </w:rPr>
        <w:t>ПРИЛОЖЕНИЕ 8</w:t>
      </w:r>
    </w:p>
    <w:p>
      <w:pPr>
        <w:tabs>
          <w:tab w:val="left" w:pos="568"/>
        </w:tabs>
        <w:ind w:firstLine="5580"/>
        <w:jc w:val="center"/>
        <w:rPr>
          <w:rFonts w:eastAsia="Lucida Sans Unicode"/>
          <w:kern w:val="2"/>
          <w:sz w:val="28"/>
          <w:szCs w:val="28"/>
        </w:rPr>
      </w:pPr>
    </w:p>
    <w:p>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pPr>
        <w:tabs>
          <w:tab w:val="left" w:pos="568"/>
        </w:tabs>
        <w:ind w:firstLine="5580"/>
        <w:jc w:val="center"/>
        <w:rPr>
          <w:rFonts w:eastAsia="Lucida Sans Unicode"/>
          <w:kern w:val="2"/>
          <w:sz w:val="28"/>
          <w:szCs w:val="28"/>
        </w:rPr>
      </w:pPr>
      <w:r>
        <w:rPr>
          <w:rFonts w:eastAsia="Lucida Sans Unicode"/>
          <w:kern w:val="2"/>
          <w:sz w:val="28"/>
          <w:szCs w:val="28"/>
        </w:rPr>
        <w:t>от 15.12.2022 № 147</w:t>
      </w:r>
    </w:p>
    <w:p>
      <w:pPr>
        <w:jc w:val="center"/>
        <w:rPr>
          <w:b/>
        </w:rPr>
      </w:pPr>
    </w:p>
    <w:p>
      <w:pPr>
        <w:jc w:val="center"/>
        <w:rPr>
          <w:b/>
        </w:rPr>
      </w:pPr>
      <w:r>
        <w:rPr>
          <w:b/>
        </w:rPr>
        <w:t>Программа муниципальных внутренних заимствований Богородского муниципального округа на 2023 год и на плановый период 2024 и 2025 годов</w:t>
      </w:r>
    </w:p>
    <w:p>
      <w:pPr>
        <w:jc w:val="right"/>
      </w:pPr>
      <w:r>
        <w:t xml:space="preserve"> (тыс. руб.)</w:t>
      </w:r>
    </w:p>
    <w:p>
      <w:pPr>
        <w:tabs>
          <w:tab w:val="left" w:pos="568"/>
        </w:tabs>
        <w:ind w:firstLine="5580"/>
        <w:jc w:val="center"/>
        <w:rPr>
          <w:rFonts w:eastAsia="Lucida Sans Unicode"/>
          <w:kern w:val="2"/>
        </w:rPr>
      </w:pPr>
    </w:p>
    <w:tbl>
      <w:tblPr>
        <w:tblStyle w:val="12"/>
        <w:tblpPr w:leftFromText="180" w:rightFromText="180" w:bottomFromText="200" w:vertAnchor="text" w:horzAnchor="margin" w:tblpX="108" w:tblpY="1"/>
        <w:tblW w:w="49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4298"/>
        <w:gridCol w:w="1540"/>
        <w:gridCol w:w="154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47" w:type="pct"/>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jc w:val="center"/>
              <w:rPr>
                <w:b/>
                <w:kern w:val="32"/>
              </w:rPr>
            </w:pPr>
            <w:r>
              <w:rPr>
                <w:b/>
                <w:sz w:val="22"/>
                <w:szCs w:val="22"/>
              </w:rPr>
              <w:t>№ п/п</w:t>
            </w:r>
          </w:p>
        </w:tc>
        <w:tc>
          <w:tcPr>
            <w:tcW w:w="2285"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jc w:val="center"/>
              <w:rPr>
                <w:b/>
                <w:kern w:val="32"/>
              </w:rPr>
            </w:pPr>
            <w:r>
              <w:rPr>
                <w:b/>
              </w:rPr>
              <w:t>Перечень</w:t>
            </w:r>
            <w:r>
              <w:rPr>
                <w:b/>
                <w:sz w:val="22"/>
                <w:szCs w:val="22"/>
              </w:rPr>
              <w:t xml:space="preserve"> муниципальных внутренних заимствований</w:t>
            </w:r>
          </w:p>
        </w:tc>
        <w:tc>
          <w:tcPr>
            <w:tcW w:w="828" w:type="pct"/>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jc w:val="center"/>
              <w:rPr>
                <w:b/>
                <w:kern w:val="32"/>
              </w:rPr>
            </w:pPr>
            <w:r>
              <w:rPr>
                <w:b/>
                <w:sz w:val="22"/>
                <w:szCs w:val="22"/>
              </w:rPr>
              <w:t>2023 год</w:t>
            </w:r>
          </w:p>
        </w:tc>
        <w:tc>
          <w:tcPr>
            <w:tcW w:w="828" w:type="pct"/>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jc w:val="center"/>
              <w:rPr>
                <w:b/>
                <w:kern w:val="32"/>
              </w:rPr>
            </w:pPr>
            <w:r>
              <w:rPr>
                <w:b/>
                <w:sz w:val="22"/>
                <w:szCs w:val="22"/>
              </w:rPr>
              <w:t>2024 год</w:t>
            </w:r>
          </w:p>
        </w:tc>
        <w:tc>
          <w:tcPr>
            <w:tcW w:w="812" w:type="pct"/>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jc w:val="center"/>
              <w:rPr>
                <w:b/>
                <w:kern w:val="32"/>
              </w:rPr>
            </w:pPr>
            <w:r>
              <w:rPr>
                <w:b/>
                <w:sz w:val="22"/>
                <w:szCs w:val="22"/>
              </w:rPr>
              <w:t>2025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47"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b/>
                <w:kern w:val="32"/>
              </w:rPr>
            </w:pPr>
          </w:p>
        </w:tc>
        <w:tc>
          <w:tcPr>
            <w:tcW w:w="228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rPr>
                <w:b/>
                <w:kern w:val="32"/>
              </w:rPr>
            </w:pPr>
            <w:r>
              <w:rPr>
                <w:b/>
              </w:rPr>
              <w:t>Муниципальные внутренние заимствования,</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b/>
                <w:kern w:val="32"/>
              </w:rPr>
            </w:pPr>
            <w:r>
              <w:rPr>
                <w:b/>
                <w:kern w:val="32"/>
              </w:rPr>
              <w:t>30 000,00</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b/>
                <w:kern w:val="32"/>
              </w:rPr>
            </w:pPr>
            <w:r>
              <w:rPr>
                <w:b/>
                <w:kern w:val="32"/>
              </w:rPr>
              <w:t>-30 000,00</w:t>
            </w:r>
          </w:p>
        </w:tc>
        <w:tc>
          <w:tcPr>
            <w:tcW w:w="81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b/>
                <w:kern w:val="32"/>
              </w:rPr>
            </w:pPr>
            <w:r>
              <w:rPr>
                <w:b/>
                <w:kern w:val="3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47"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b/>
                <w:kern w:val="32"/>
              </w:rPr>
            </w:pPr>
          </w:p>
        </w:tc>
        <w:tc>
          <w:tcPr>
            <w:tcW w:w="228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rPr>
                <w:b/>
                <w:kern w:val="32"/>
                <w:lang w:val="en-US"/>
              </w:rPr>
            </w:pPr>
            <w:r>
              <w:rPr>
                <w:b/>
              </w:rPr>
              <w:t>в том числе</w:t>
            </w:r>
            <w:r>
              <w:rPr>
                <w:b/>
                <w:lang w:val="en-US"/>
              </w:rPr>
              <w:t>:</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b/>
                <w:kern w:val="32"/>
              </w:rPr>
            </w:pP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b/>
                <w:kern w:val="32"/>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b/>
                <w:kern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247"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b/>
                <w:kern w:val="32"/>
              </w:rPr>
            </w:pPr>
            <w:r>
              <w:rPr>
                <w:b/>
              </w:rPr>
              <w:t>1.</w:t>
            </w:r>
          </w:p>
        </w:tc>
        <w:tc>
          <w:tcPr>
            <w:tcW w:w="228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rPr>
                <w:b/>
                <w:kern w:val="32"/>
              </w:rPr>
            </w:pPr>
            <w:r>
              <w:rPr>
                <w:b/>
              </w:rPr>
              <w:t>Кредиты, привлеченные от кредитных организаций</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b/>
                <w:kern w:val="32"/>
              </w:rPr>
            </w:pPr>
            <w:r>
              <w:rPr>
                <w:b/>
                <w:kern w:val="32"/>
              </w:rPr>
              <w:t>30 000,00</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b/>
                <w:kern w:val="32"/>
              </w:rPr>
            </w:pPr>
            <w:r>
              <w:rPr>
                <w:b/>
                <w:kern w:val="32"/>
              </w:rPr>
              <w:t>-30 000,00</w:t>
            </w:r>
          </w:p>
        </w:tc>
        <w:tc>
          <w:tcPr>
            <w:tcW w:w="81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b/>
                <w:kern w:val="32"/>
              </w:rPr>
            </w:pPr>
            <w:r>
              <w:rPr>
                <w:b/>
                <w:kern w:val="3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47"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r>
              <w:t>1.1.</w:t>
            </w:r>
          </w:p>
        </w:tc>
        <w:tc>
          <w:tcPr>
            <w:tcW w:w="228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rPr>
                <w:kern w:val="32"/>
              </w:rPr>
            </w:pPr>
            <w:r>
              <w:t>Объем привлечения</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r>
              <w:rPr>
                <w:kern w:val="32"/>
              </w:rPr>
              <w:t>30 000,00</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47"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p>
        </w:tc>
        <w:tc>
          <w:tcPr>
            <w:tcW w:w="228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rPr>
                <w:kern w:val="32"/>
              </w:rPr>
            </w:pPr>
            <w:r>
              <w:t>предельный срок погашения</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r>
              <w:t>1 год</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47"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r>
              <w:t>1.2.</w:t>
            </w:r>
          </w:p>
        </w:tc>
        <w:tc>
          <w:tcPr>
            <w:tcW w:w="228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rPr>
                <w:kern w:val="32"/>
              </w:rPr>
            </w:pPr>
            <w:r>
              <w:t>Объем погашения</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r>
              <w:rPr>
                <w:kern w:val="32"/>
              </w:rPr>
              <w:t>30 000,00</w:t>
            </w:r>
          </w:p>
        </w:tc>
        <w:tc>
          <w:tcPr>
            <w:tcW w:w="81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247"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b/>
                <w:kern w:val="32"/>
              </w:rPr>
            </w:pPr>
            <w:r>
              <w:rPr>
                <w:b/>
              </w:rPr>
              <w:t>2.</w:t>
            </w:r>
          </w:p>
        </w:tc>
        <w:tc>
          <w:tcPr>
            <w:tcW w:w="228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rPr>
                <w:b/>
                <w:kern w:val="32"/>
              </w:rPr>
            </w:pPr>
            <w:r>
              <w:rPr>
                <w:b/>
              </w:rPr>
              <w:t>Бюджетные кредиты, привлеченные от других бюджетов бюджетной системы Российской Федерации</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b/>
                <w:kern w:val="32"/>
              </w:rPr>
            </w:pPr>
            <w:r>
              <w:rPr>
                <w:b/>
                <w:kern w:val="32"/>
              </w:rPr>
              <w:t>0,00</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b/>
                <w:kern w:val="32"/>
              </w:rPr>
            </w:pPr>
            <w:r>
              <w:rPr>
                <w:b/>
                <w:kern w:val="32"/>
              </w:rPr>
              <w:t>0,00</w:t>
            </w:r>
          </w:p>
        </w:tc>
        <w:tc>
          <w:tcPr>
            <w:tcW w:w="81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b/>
                <w:kern w:val="32"/>
              </w:rPr>
            </w:pPr>
            <w:r>
              <w:rPr>
                <w:b/>
                <w:kern w:val="3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47"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r>
              <w:t>2.1.</w:t>
            </w:r>
          </w:p>
        </w:tc>
        <w:tc>
          <w:tcPr>
            <w:tcW w:w="228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rPr>
                <w:kern w:val="32"/>
              </w:rPr>
            </w:pPr>
            <w:r>
              <w:t>Объем получения</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kern w:val="32"/>
              </w:rPr>
            </w:pP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kern w:val="32"/>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kern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47"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p>
        </w:tc>
        <w:tc>
          <w:tcPr>
            <w:tcW w:w="228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rPr>
                <w:kern w:val="32"/>
              </w:rPr>
            </w:pPr>
            <w:r>
              <w:t xml:space="preserve">в том числе бюджетные кредиты на пополнение остатков средств на едином счете бюджета </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kern w:val="32"/>
              </w:rPr>
            </w:pP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kern w:val="32"/>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kern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47"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p>
        </w:tc>
        <w:tc>
          <w:tcPr>
            <w:tcW w:w="228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rPr>
                <w:kern w:val="32"/>
              </w:rPr>
            </w:pPr>
            <w:r>
              <w:t>Предельный срок погашения</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247"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kern w:val="32"/>
              </w:rPr>
            </w:pPr>
            <w:r>
              <w:t>2.2.</w:t>
            </w:r>
          </w:p>
        </w:tc>
        <w:tc>
          <w:tcPr>
            <w:tcW w:w="228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rPr>
                <w:kern w:val="32"/>
              </w:rPr>
            </w:pPr>
            <w:r>
              <w:t>Объем погашения</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kern w:val="32"/>
              </w:rPr>
            </w:pP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kern w:val="32"/>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kern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47"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jc w:val="center"/>
              <w:rPr>
                <w:b/>
                <w:kern w:val="32"/>
              </w:rPr>
            </w:pPr>
          </w:p>
        </w:tc>
        <w:tc>
          <w:tcPr>
            <w:tcW w:w="228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overflowPunct w:val="0"/>
              <w:adjustRightInd w:val="0"/>
              <w:rPr>
                <w:kern w:val="32"/>
              </w:rPr>
            </w:pPr>
            <w:r>
              <w:t>в том числе бюджетные кредиты на пополнение остатков средств на едином счете бюджета</w:t>
            </w: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kern w:val="32"/>
              </w:rPr>
            </w:pPr>
          </w:p>
        </w:tc>
        <w:tc>
          <w:tcPr>
            <w:tcW w:w="82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kern w:val="32"/>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jc w:val="center"/>
              <w:rPr>
                <w:kern w:val="32"/>
              </w:rPr>
            </w:pPr>
          </w:p>
        </w:tc>
      </w:tr>
    </w:tbl>
    <w:p>
      <w:pPr>
        <w:tabs>
          <w:tab w:val="left" w:pos="568"/>
        </w:tabs>
        <w:jc w:val="center"/>
        <w:rPr>
          <w:rFonts w:eastAsia="Lucida Sans Unicode"/>
          <w:kern w:val="2"/>
        </w:rPr>
      </w:pPr>
      <w:r>
        <w:rPr>
          <w:rFonts w:eastAsia="Lucida Sans Unicode"/>
          <w:kern w:val="2"/>
        </w:rPr>
        <w:t>_____________________________</w:t>
      </w:r>
    </w:p>
    <w:p>
      <w:pPr>
        <w:tabs>
          <w:tab w:val="left" w:pos="568"/>
        </w:tabs>
        <w:ind w:firstLine="5580"/>
        <w:jc w:val="center"/>
        <w:rPr>
          <w:rFonts w:eastAsia="Lucida Sans Unicode"/>
          <w:kern w:val="2"/>
          <w:sz w:val="28"/>
          <w:szCs w:val="28"/>
        </w:rPr>
      </w:pPr>
      <w:r>
        <w:rPr>
          <w:rFonts w:eastAsia="Lucida Sans Unicode"/>
          <w:kern w:val="2"/>
        </w:rPr>
        <w:br w:type="page"/>
      </w:r>
      <w:r>
        <w:rPr>
          <w:rFonts w:eastAsia="Lucida Sans Unicode"/>
          <w:kern w:val="2"/>
          <w:sz w:val="28"/>
          <w:szCs w:val="28"/>
        </w:rPr>
        <w:t>ПРИЛОЖЕНИЕ 9</w:t>
      </w:r>
    </w:p>
    <w:p>
      <w:pPr>
        <w:tabs>
          <w:tab w:val="left" w:pos="568"/>
        </w:tabs>
        <w:ind w:firstLine="5580"/>
        <w:jc w:val="center"/>
        <w:rPr>
          <w:rFonts w:eastAsia="Lucida Sans Unicode"/>
          <w:kern w:val="2"/>
          <w:sz w:val="28"/>
          <w:szCs w:val="28"/>
        </w:rPr>
      </w:pPr>
    </w:p>
    <w:p>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pPr>
        <w:tabs>
          <w:tab w:val="left" w:pos="568"/>
        </w:tabs>
        <w:ind w:firstLine="5580"/>
        <w:jc w:val="center"/>
        <w:rPr>
          <w:rFonts w:eastAsia="Lucida Sans Unicode"/>
          <w:kern w:val="2"/>
          <w:sz w:val="28"/>
          <w:szCs w:val="28"/>
        </w:rPr>
      </w:pPr>
      <w:r>
        <w:rPr>
          <w:rFonts w:eastAsia="Lucida Sans Unicode"/>
          <w:kern w:val="2"/>
          <w:sz w:val="28"/>
          <w:szCs w:val="28"/>
        </w:rPr>
        <w:t>от 15.12.2022 № 147</w:t>
      </w:r>
    </w:p>
    <w:p>
      <w:pPr>
        <w:adjustRightInd w:val="0"/>
        <w:ind w:firstLine="709"/>
        <w:jc w:val="center"/>
      </w:pPr>
    </w:p>
    <w:p>
      <w:pPr>
        <w:overflowPunct w:val="0"/>
        <w:adjustRightInd w:val="0"/>
        <w:jc w:val="center"/>
        <w:textAlignment w:val="baseline"/>
        <w:rPr>
          <w:b/>
          <w:bCs/>
          <w:sz w:val="28"/>
          <w:szCs w:val="28"/>
        </w:rPr>
      </w:pPr>
      <w:r>
        <w:rPr>
          <w:b/>
          <w:bCs/>
          <w:sz w:val="28"/>
          <w:szCs w:val="28"/>
        </w:rPr>
        <w:t xml:space="preserve">Программа муниципальных гарантий Богородского муниципального округа на 2023 год </w:t>
      </w:r>
      <w:r>
        <w:rPr>
          <w:b/>
          <w:sz w:val="28"/>
          <w:szCs w:val="28"/>
        </w:rPr>
        <w:t>и на плановый период 2024и 2025 годов</w:t>
      </w:r>
    </w:p>
    <w:p>
      <w:pPr>
        <w:overflowPunct w:val="0"/>
        <w:adjustRightInd w:val="0"/>
        <w:jc w:val="center"/>
        <w:textAlignment w:val="baseline"/>
        <w:outlineLvl w:val="0"/>
        <w:rPr>
          <w:b/>
          <w:bCs/>
          <w:sz w:val="28"/>
          <w:szCs w:val="28"/>
        </w:rPr>
      </w:pPr>
    </w:p>
    <w:p>
      <w:pPr>
        <w:overflowPunct w:val="0"/>
        <w:adjustRightInd w:val="0"/>
        <w:jc w:val="right"/>
        <w:textAlignment w:val="baseline"/>
      </w:pPr>
      <w:r>
        <w:t xml:space="preserve"> (тыс. рублей)</w:t>
      </w:r>
    </w:p>
    <w:tbl>
      <w:tblPr>
        <w:tblStyle w:val="12"/>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281"/>
        <w:gridCol w:w="1325"/>
        <w:gridCol w:w="926"/>
        <w:gridCol w:w="812"/>
        <w:gridCol w:w="838"/>
        <w:gridCol w:w="814"/>
        <w:gridCol w:w="1384"/>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3" w:type="pct"/>
            <w:vMerge w:val="restart"/>
            <w:noWrap w:val="0"/>
            <w:vAlign w:val="top"/>
          </w:tcPr>
          <w:p>
            <w:pPr>
              <w:jc w:val="center"/>
            </w:pPr>
            <w:r>
              <w:t>№ п/п</w:t>
            </w:r>
          </w:p>
        </w:tc>
        <w:tc>
          <w:tcPr>
            <w:tcW w:w="669" w:type="pct"/>
            <w:vMerge w:val="restart"/>
            <w:noWrap w:val="0"/>
            <w:vAlign w:val="top"/>
          </w:tcPr>
          <w:p>
            <w:pPr>
              <w:jc w:val="center"/>
            </w:pPr>
            <w:r>
              <w:t>Направление (цель) гарантирования</w:t>
            </w:r>
          </w:p>
        </w:tc>
        <w:tc>
          <w:tcPr>
            <w:tcW w:w="692" w:type="pct"/>
            <w:vMerge w:val="restart"/>
            <w:noWrap w:val="0"/>
            <w:vAlign w:val="top"/>
          </w:tcPr>
          <w:p>
            <w:pPr>
              <w:jc w:val="center"/>
            </w:pPr>
            <w:r>
              <w:t>Категория и (или) наименование принципала</w:t>
            </w:r>
          </w:p>
        </w:tc>
        <w:tc>
          <w:tcPr>
            <w:tcW w:w="1770" w:type="pct"/>
            <w:gridSpan w:val="4"/>
            <w:noWrap w:val="0"/>
            <w:vAlign w:val="top"/>
          </w:tcPr>
          <w:p>
            <w:pPr>
              <w:jc w:val="center"/>
            </w:pPr>
            <w:r>
              <w:t xml:space="preserve">Объем муниципальных гарантий </w:t>
            </w:r>
          </w:p>
        </w:tc>
        <w:tc>
          <w:tcPr>
            <w:tcW w:w="723" w:type="pct"/>
            <w:vMerge w:val="restart"/>
            <w:noWrap w:val="0"/>
            <w:vAlign w:val="top"/>
          </w:tcPr>
          <w:p>
            <w:pPr>
              <w:jc w:val="center"/>
            </w:pPr>
            <w:r>
              <w:t>Наличие (отсутствие) права регрессного требования</w:t>
            </w:r>
          </w:p>
        </w:tc>
        <w:tc>
          <w:tcPr>
            <w:tcW w:w="852" w:type="pct"/>
            <w:vMerge w:val="restart"/>
            <w:noWrap w:val="0"/>
            <w:vAlign w:val="top"/>
          </w:tcPr>
          <w:p>
            <w:pPr>
              <w:jc w:val="center"/>
            </w:pPr>
            <w:r>
              <w:t xml:space="preserve">Иные условия предоставления и исполнения муниципальных гарантий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3" w:type="pct"/>
            <w:vMerge w:val="continue"/>
            <w:noWrap w:val="0"/>
            <w:vAlign w:val="top"/>
          </w:tcPr>
          <w:p>
            <w:pPr>
              <w:jc w:val="center"/>
            </w:pPr>
          </w:p>
        </w:tc>
        <w:tc>
          <w:tcPr>
            <w:tcW w:w="669" w:type="pct"/>
            <w:vMerge w:val="continue"/>
            <w:noWrap w:val="0"/>
            <w:vAlign w:val="top"/>
          </w:tcPr>
          <w:p>
            <w:pPr>
              <w:jc w:val="center"/>
            </w:pPr>
          </w:p>
        </w:tc>
        <w:tc>
          <w:tcPr>
            <w:tcW w:w="692" w:type="pct"/>
            <w:vMerge w:val="continue"/>
            <w:noWrap w:val="0"/>
            <w:vAlign w:val="top"/>
          </w:tcPr>
          <w:p>
            <w:pPr>
              <w:jc w:val="center"/>
            </w:pPr>
          </w:p>
        </w:tc>
        <w:tc>
          <w:tcPr>
            <w:tcW w:w="484" w:type="pct"/>
            <w:noWrap w:val="0"/>
            <w:vAlign w:val="top"/>
          </w:tcPr>
          <w:p>
            <w:pPr>
              <w:jc w:val="center"/>
            </w:pPr>
            <w:r>
              <w:t>Общая сумма</w:t>
            </w:r>
          </w:p>
        </w:tc>
        <w:tc>
          <w:tcPr>
            <w:tcW w:w="424" w:type="pct"/>
            <w:noWrap w:val="0"/>
            <w:vAlign w:val="top"/>
          </w:tcPr>
          <w:p>
            <w:pPr>
              <w:jc w:val="center"/>
            </w:pPr>
            <w:r>
              <w:t>2023 год</w:t>
            </w:r>
          </w:p>
        </w:tc>
        <w:tc>
          <w:tcPr>
            <w:tcW w:w="438" w:type="pct"/>
            <w:noWrap w:val="0"/>
            <w:vAlign w:val="top"/>
          </w:tcPr>
          <w:p>
            <w:pPr>
              <w:jc w:val="center"/>
            </w:pPr>
            <w:r>
              <w:t>2024 год</w:t>
            </w:r>
          </w:p>
        </w:tc>
        <w:tc>
          <w:tcPr>
            <w:tcW w:w="425" w:type="pct"/>
            <w:noWrap w:val="0"/>
            <w:vAlign w:val="top"/>
          </w:tcPr>
          <w:p>
            <w:pPr>
              <w:jc w:val="center"/>
            </w:pPr>
            <w:r>
              <w:t>2025 год</w:t>
            </w:r>
          </w:p>
        </w:tc>
        <w:tc>
          <w:tcPr>
            <w:tcW w:w="723" w:type="pct"/>
            <w:vMerge w:val="continue"/>
            <w:noWrap w:val="0"/>
            <w:vAlign w:val="top"/>
          </w:tcPr>
          <w:p>
            <w:pPr>
              <w:jc w:val="center"/>
            </w:pPr>
          </w:p>
        </w:tc>
        <w:tc>
          <w:tcPr>
            <w:tcW w:w="852" w:type="pct"/>
            <w:vMerge w:val="continue"/>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3" w:type="pct"/>
            <w:noWrap w:val="0"/>
            <w:vAlign w:val="top"/>
          </w:tcPr>
          <w:p>
            <w:pPr>
              <w:jc w:val="center"/>
            </w:pPr>
            <w:r>
              <w:t>-</w:t>
            </w:r>
          </w:p>
        </w:tc>
        <w:tc>
          <w:tcPr>
            <w:tcW w:w="669" w:type="pct"/>
            <w:noWrap w:val="0"/>
            <w:vAlign w:val="top"/>
          </w:tcPr>
          <w:p>
            <w:pPr>
              <w:jc w:val="center"/>
            </w:pPr>
            <w:r>
              <w:t>-</w:t>
            </w:r>
          </w:p>
        </w:tc>
        <w:tc>
          <w:tcPr>
            <w:tcW w:w="692" w:type="pct"/>
            <w:noWrap w:val="0"/>
            <w:vAlign w:val="top"/>
          </w:tcPr>
          <w:p>
            <w:pPr>
              <w:jc w:val="center"/>
            </w:pPr>
            <w:r>
              <w:t>-</w:t>
            </w:r>
          </w:p>
        </w:tc>
        <w:tc>
          <w:tcPr>
            <w:tcW w:w="484" w:type="pct"/>
            <w:noWrap w:val="0"/>
            <w:vAlign w:val="top"/>
          </w:tcPr>
          <w:p>
            <w:pPr>
              <w:jc w:val="center"/>
            </w:pPr>
            <w:r>
              <w:t>0,0</w:t>
            </w:r>
          </w:p>
        </w:tc>
        <w:tc>
          <w:tcPr>
            <w:tcW w:w="424" w:type="pct"/>
            <w:noWrap w:val="0"/>
            <w:vAlign w:val="top"/>
          </w:tcPr>
          <w:p>
            <w:pPr>
              <w:jc w:val="center"/>
            </w:pPr>
            <w:r>
              <w:t>0,0</w:t>
            </w:r>
          </w:p>
        </w:tc>
        <w:tc>
          <w:tcPr>
            <w:tcW w:w="438" w:type="pct"/>
            <w:noWrap w:val="0"/>
            <w:vAlign w:val="top"/>
          </w:tcPr>
          <w:p>
            <w:pPr>
              <w:jc w:val="center"/>
            </w:pPr>
            <w:r>
              <w:t>0,0</w:t>
            </w:r>
          </w:p>
        </w:tc>
        <w:tc>
          <w:tcPr>
            <w:tcW w:w="425" w:type="pct"/>
            <w:noWrap w:val="0"/>
            <w:vAlign w:val="top"/>
          </w:tcPr>
          <w:p>
            <w:pPr>
              <w:jc w:val="center"/>
            </w:pPr>
            <w:r>
              <w:t>0,0</w:t>
            </w:r>
          </w:p>
        </w:tc>
        <w:tc>
          <w:tcPr>
            <w:tcW w:w="723" w:type="pct"/>
            <w:noWrap w:val="0"/>
            <w:vAlign w:val="top"/>
          </w:tcPr>
          <w:p>
            <w:pPr>
              <w:jc w:val="center"/>
            </w:pPr>
            <w:r>
              <w:t>-</w:t>
            </w:r>
          </w:p>
        </w:tc>
        <w:tc>
          <w:tcPr>
            <w:tcW w:w="852" w:type="pct"/>
            <w:noWrap w:val="0"/>
            <w:vAlign w:val="top"/>
          </w:tcPr>
          <w:p>
            <w:pPr>
              <w:jc w:val="center"/>
            </w:pPr>
            <w:r>
              <w:t>-</w:t>
            </w:r>
          </w:p>
        </w:tc>
      </w:tr>
    </w:tbl>
    <w:p>
      <w:pPr>
        <w:adjustRightInd w:val="0"/>
        <w:ind w:firstLine="709"/>
        <w:jc w:val="center"/>
      </w:pPr>
    </w:p>
    <w:p>
      <w:pPr>
        <w:tabs>
          <w:tab w:val="left" w:pos="568"/>
        </w:tabs>
        <w:jc w:val="center"/>
        <w:rPr>
          <w:rFonts w:eastAsia="Lucida Sans Unicode"/>
          <w:kern w:val="2"/>
        </w:rPr>
      </w:pPr>
      <w:r>
        <w:rPr>
          <w:rFonts w:eastAsia="Lucida Sans Unicode"/>
          <w:kern w:val="2"/>
        </w:rPr>
        <w:t>_____________________________</w:t>
      </w:r>
    </w:p>
    <w:p>
      <w:pPr>
        <w:tabs>
          <w:tab w:val="left" w:pos="568"/>
        </w:tabs>
        <w:ind w:firstLine="5580"/>
        <w:jc w:val="center"/>
      </w:pPr>
      <w:r>
        <w:t xml:space="preserve"> </w:t>
      </w:r>
    </w:p>
    <w:p>
      <w:pPr>
        <w:tabs>
          <w:tab w:val="left" w:pos="568"/>
        </w:tabs>
        <w:ind w:firstLine="5580"/>
        <w:jc w:val="center"/>
        <w:rPr>
          <w:rFonts w:eastAsia="Lucida Sans Unicode"/>
          <w:kern w:val="2"/>
          <w:sz w:val="28"/>
          <w:szCs w:val="28"/>
        </w:rPr>
      </w:pPr>
      <w:r>
        <w:rPr>
          <w:rFonts w:eastAsia="Lucida Sans Unicode"/>
          <w:kern w:val="2"/>
        </w:rPr>
        <w:br w:type="page"/>
      </w:r>
      <w:r>
        <w:rPr>
          <w:rFonts w:eastAsia="Lucida Sans Unicode"/>
          <w:kern w:val="2"/>
          <w:sz w:val="28"/>
          <w:szCs w:val="28"/>
        </w:rPr>
        <w:t>ПРИЛОЖЕНИЕ 10</w:t>
      </w:r>
    </w:p>
    <w:p>
      <w:pPr>
        <w:tabs>
          <w:tab w:val="left" w:pos="568"/>
        </w:tabs>
        <w:ind w:firstLine="5580"/>
        <w:jc w:val="center"/>
        <w:rPr>
          <w:rFonts w:eastAsia="Lucida Sans Unicode"/>
          <w:kern w:val="2"/>
          <w:sz w:val="28"/>
          <w:szCs w:val="28"/>
        </w:rPr>
      </w:pPr>
    </w:p>
    <w:p>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pPr>
        <w:tabs>
          <w:tab w:val="left" w:pos="568"/>
        </w:tabs>
        <w:ind w:firstLine="5580"/>
        <w:jc w:val="center"/>
        <w:rPr>
          <w:rFonts w:eastAsia="Lucida Sans Unicode"/>
          <w:kern w:val="2"/>
          <w:sz w:val="28"/>
          <w:szCs w:val="28"/>
        </w:rPr>
      </w:pPr>
      <w:r>
        <w:rPr>
          <w:rFonts w:eastAsia="Lucida Sans Unicode"/>
          <w:kern w:val="2"/>
          <w:sz w:val="28"/>
          <w:szCs w:val="28"/>
        </w:rPr>
        <w:t xml:space="preserve"> от 15.12.2022 № 147</w:t>
      </w:r>
    </w:p>
    <w:p>
      <w:pPr>
        <w:tabs>
          <w:tab w:val="left" w:pos="568"/>
        </w:tabs>
        <w:ind w:firstLine="5580"/>
        <w:jc w:val="center"/>
        <w:rPr>
          <w:rFonts w:eastAsia="Lucida Sans Unicode"/>
          <w:kern w:val="2"/>
        </w:rPr>
      </w:pPr>
    </w:p>
    <w:p>
      <w:pPr>
        <w:widowControl w:val="0"/>
        <w:adjustRightInd w:val="0"/>
        <w:jc w:val="center"/>
        <w:rPr>
          <w:b/>
          <w:bCs/>
        </w:rPr>
      </w:pPr>
      <w:r>
        <w:rPr>
          <w:b/>
          <w:bCs/>
        </w:rPr>
        <w:t>ПОЛОЖЕНИЕ</w:t>
      </w:r>
    </w:p>
    <w:p>
      <w:pPr>
        <w:widowControl w:val="0"/>
        <w:adjustRightInd w:val="0"/>
        <w:jc w:val="center"/>
        <w:rPr>
          <w:b/>
          <w:bCs/>
        </w:rPr>
      </w:pPr>
      <w:r>
        <w:rPr>
          <w:b/>
          <w:bCs/>
        </w:rPr>
        <w:t xml:space="preserve">О ПОРЯДКЕ ОПРЕДЕЛЕНИЯ РАЗМЕРА И ПЕРЕЧИСЛЕНИЯ В БЮДЖЕТ </w:t>
      </w:r>
    </w:p>
    <w:p>
      <w:pPr>
        <w:widowControl w:val="0"/>
        <w:adjustRightInd w:val="0"/>
        <w:jc w:val="center"/>
        <w:rPr>
          <w:b/>
          <w:bCs/>
        </w:rPr>
      </w:pPr>
      <w:r>
        <w:rPr>
          <w:b/>
          <w:bCs/>
        </w:rPr>
        <w:t xml:space="preserve">БОГОРОДСКОГО МУНИЦИПАЛЬНОГО ОКРУГА НИЖЕГОРОДСКОЙ </w:t>
      </w:r>
    </w:p>
    <w:p>
      <w:pPr>
        <w:widowControl w:val="0"/>
        <w:adjustRightInd w:val="0"/>
        <w:jc w:val="center"/>
        <w:rPr>
          <w:b/>
          <w:bCs/>
        </w:rPr>
      </w:pPr>
      <w:r>
        <w:rPr>
          <w:b/>
          <w:bCs/>
        </w:rPr>
        <w:t xml:space="preserve">ОБЛАСТИ ЧАСТИ ПРИБЫЛИ, ОСТАЮЩЕЙСЯ В РАСПОРЯЖЕНИИ </w:t>
      </w:r>
    </w:p>
    <w:p>
      <w:pPr>
        <w:widowControl w:val="0"/>
        <w:adjustRightInd w:val="0"/>
        <w:jc w:val="center"/>
        <w:rPr>
          <w:b/>
          <w:bCs/>
        </w:rPr>
      </w:pPr>
      <w:r>
        <w:rPr>
          <w:b/>
          <w:bCs/>
        </w:rPr>
        <w:t>МУНИЦИПАЛЬНЫХ ПРЕДПРИЯТИЙ ПОСЛЕ УПЛАТЫ НАЛОГОВ И ИНЫХ</w:t>
      </w:r>
    </w:p>
    <w:p>
      <w:pPr>
        <w:widowControl w:val="0"/>
        <w:adjustRightInd w:val="0"/>
        <w:jc w:val="center"/>
        <w:rPr>
          <w:b/>
          <w:bCs/>
        </w:rPr>
      </w:pPr>
      <w:r>
        <w:rPr>
          <w:b/>
          <w:bCs/>
        </w:rPr>
        <w:t xml:space="preserve"> ОБЯЗАТЕЛЬНЫХ ПЛАТЕЖЕЙ</w:t>
      </w:r>
    </w:p>
    <w:p>
      <w:pPr>
        <w:widowControl w:val="0"/>
        <w:adjustRightInd w:val="0"/>
        <w:jc w:val="center"/>
      </w:pPr>
    </w:p>
    <w:p>
      <w:pPr>
        <w:adjustRightInd w:val="0"/>
        <w:ind w:firstLine="709"/>
        <w:jc w:val="both"/>
        <w:rPr>
          <w:bCs/>
        </w:rPr>
      </w:pPr>
      <w:r>
        <w:t xml:space="preserve">1. Настоящее Положение о порядке определения размера и перечисления в бюджет Богородского муниципального округа Нижегородской области части прибыли, остающейся в распоряжении муниципальных предприятий после уплаты налогов и иных обязательных платежей (далее - Положение), разработано в соответствии со </w:t>
      </w:r>
      <w:r>
        <w:fldChar w:fldCharType="begin"/>
      </w:r>
      <w:r>
        <w:instrText xml:space="preserve"> HYPERLINK "consultantplus://offline/ref=96A41E9CB0B30BBCFFFAAF5066FF8E6DD3FD1C99CC3BCF743871C7A3A6D92A589A027F5F91F5DA7348A0K" </w:instrText>
      </w:r>
      <w:r>
        <w:fldChar w:fldCharType="separate"/>
      </w:r>
      <w:r>
        <w:t>статьей 295</w:t>
      </w:r>
      <w:r>
        <w:fldChar w:fldCharType="end"/>
      </w:r>
      <w:r>
        <w:t xml:space="preserve"> Гражданского кодекса Российской Федерации, пунктом 3 статьи 41, статьей 42 Бюджетного кодекса Российской Федерации, </w:t>
      </w:r>
      <w:r>
        <w:rPr>
          <w:bCs/>
        </w:rPr>
        <w:t xml:space="preserve">в целях реализации права Богородского муниципального округа Нижегородской области </w:t>
      </w:r>
      <w:r>
        <w:t xml:space="preserve">(далее – Богородский муниципальный округ) </w:t>
      </w:r>
      <w:r>
        <w:rPr>
          <w:bCs/>
        </w:rPr>
        <w:t>на получение доходов от использования имущества, принадлежащего муниципальному предприятию на праве хозяйственного ведения.</w:t>
      </w:r>
    </w:p>
    <w:p>
      <w:pPr>
        <w:adjustRightInd w:val="0"/>
        <w:ind w:firstLine="709"/>
        <w:jc w:val="both"/>
      </w:pPr>
      <w:r>
        <w:rPr>
          <w:bCs/>
        </w:rPr>
        <w:t xml:space="preserve">2. Положение устанавливает порядок определения размера и перечисления в бюджет Богородского муниципального округа части прибыли, остающейся в распоряжении муниципальных предприятий Богородского муниципального округа после уплаты налогов и иных обязательных платежей (далее части прибыли предприятий), </w:t>
      </w:r>
      <w:r>
        <w:t>определяет структуры, осуществляющие контроль за перечислением части прибыли предприятий, ответственность должностных лиц за нарушение требований настоящего Положения, регламентирует иные отношения, связанные с перечислением в бюджет Богородского муниципального округа части прибыли предприятий.</w:t>
      </w:r>
    </w:p>
    <w:p>
      <w:pPr>
        <w:adjustRightInd w:val="0"/>
        <w:ind w:firstLine="709"/>
        <w:jc w:val="both"/>
      </w:pPr>
      <w:r>
        <w:t>3. Администратором доходов бюджета от поступлений части прибыли предприятий, остающейся после уплаты налогов и иных обязательных платежей, в бюджет Богородского муниципального округа является Комитет имущественных и земельных отношений, учета и распределения жилья администрации Богородского муниципального округа Нижегородской области (далее - Комитет по имуществу администрации округа).</w:t>
      </w:r>
    </w:p>
    <w:p>
      <w:pPr>
        <w:adjustRightInd w:val="0"/>
        <w:ind w:firstLine="709"/>
        <w:jc w:val="both"/>
      </w:pPr>
      <w:r>
        <w:t>4. Комитет по имуществу администрации округа в срок не позднее 01 июля текущего года представляет в Финансовое управление администрации Богородского муниципального округа Нижегородской области предложения по объему поступлений в бюджет Богородского муниципального округа части прибыли предприятий для учета прогнозных поступлений при формировании доходной части бюджета Богородского муниципального округа на очередной финансовый год.</w:t>
      </w:r>
    </w:p>
    <w:p>
      <w:pPr>
        <w:adjustRightInd w:val="0"/>
        <w:ind w:firstLine="709"/>
        <w:jc w:val="both"/>
      </w:pPr>
      <w:r>
        <w:t>5. Размер части прибыли предприятия, подлежащей перечислению в бюджет Богородского муниципального округа, исчисляется муниципальным предприятием самостоятельно по результатам прошедшего финансового года на основании данных годовой бухгалтерской отчетности предприятия. Норматив отчисления части прибыли устанавливается в размере 30%.</w:t>
      </w:r>
    </w:p>
    <w:p>
      <w:pPr>
        <w:adjustRightInd w:val="0"/>
        <w:ind w:firstLine="709"/>
        <w:jc w:val="both"/>
      </w:pPr>
      <w:r>
        <w:t>6. Расчет по исчислению суммы части прибыли, остающейся в распоряжении муниципального предприятия после уплаты налогов и иных обязательных платежей, подлежащей перечислению в доход бюджета Богородского муниципального округа представляется муниципальным предприятием в промышленно-экономическое управление  и ЖКХ администрации Богородского муниципального округа Нижегородской области не позднее 15 мая года, следующего за отчетным по следующей форме:</w:t>
      </w:r>
    </w:p>
    <w:p>
      <w:pPr>
        <w:tabs>
          <w:tab w:val="left" w:pos="3240"/>
        </w:tabs>
        <w:jc w:val="center"/>
        <w:rPr>
          <w:b/>
        </w:rPr>
      </w:pPr>
    </w:p>
    <w:p>
      <w:pPr>
        <w:tabs>
          <w:tab w:val="left" w:pos="3240"/>
        </w:tabs>
        <w:jc w:val="center"/>
        <w:rPr>
          <w:b/>
        </w:rPr>
      </w:pPr>
      <w:r>
        <w:rPr>
          <w:b/>
        </w:rPr>
        <w:t>РАСЧЕТ</w:t>
      </w:r>
    </w:p>
    <w:p>
      <w:pPr>
        <w:tabs>
          <w:tab w:val="left" w:pos="2325"/>
        </w:tabs>
        <w:jc w:val="center"/>
        <w:rPr>
          <w:b/>
        </w:rPr>
      </w:pPr>
      <w:r>
        <w:rPr>
          <w:b/>
        </w:rPr>
        <w:t>суммы части прибыли, остающейся в распоряжении муниципального предприятия после уплаты налогов и иных обязательных платежей, подлежащей перечислению в доход бюджета Богородского муниципального округа Нижегородской области</w:t>
      </w:r>
    </w:p>
    <w:p>
      <w:pPr>
        <w:tabs>
          <w:tab w:val="left" w:pos="2325"/>
        </w:tabs>
        <w:jc w:val="center"/>
        <w:rPr>
          <w:b/>
        </w:rPr>
      </w:pPr>
      <w:r>
        <w:rPr>
          <w:b/>
        </w:rPr>
        <w:t xml:space="preserve"> за 20____(отчетный год)</w:t>
      </w:r>
    </w:p>
    <w:p>
      <w:pPr>
        <w:tabs>
          <w:tab w:val="left" w:pos="3420"/>
        </w:tabs>
        <w:jc w:val="center"/>
      </w:pPr>
      <w:r>
        <w:t>___________________________________________________________________</w:t>
      </w:r>
    </w:p>
    <w:p>
      <w:pPr>
        <w:jc w:val="center"/>
      </w:pPr>
      <w:r>
        <w:t>(полное наименование муниципального предприятия)</w:t>
      </w:r>
    </w:p>
    <w:p>
      <w:pPr>
        <w:jc w:val="center"/>
      </w:pPr>
    </w:p>
    <w:p>
      <w:pPr>
        <w:jc w:val="center"/>
      </w:pPr>
      <w:r>
        <w:t>____________________________________________________________________</w:t>
      </w:r>
    </w:p>
    <w:p>
      <w:pPr>
        <w:jc w:val="center"/>
      </w:pPr>
      <w:r>
        <w:t>(юридический адрес)</w:t>
      </w:r>
    </w:p>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4815"/>
        <w:gridCol w:w="913"/>
        <w:gridCol w:w="1411"/>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646" w:type="dxa"/>
            <w:noWrap w:val="0"/>
            <w:vAlign w:val="top"/>
          </w:tcPr>
          <w:p>
            <w:r>
              <w:t>№ п/п</w:t>
            </w:r>
          </w:p>
        </w:tc>
        <w:tc>
          <w:tcPr>
            <w:tcW w:w="4815" w:type="dxa"/>
            <w:noWrap w:val="0"/>
            <w:vAlign w:val="top"/>
          </w:tcPr>
          <w:p>
            <w:r>
              <w:t>Наименование показателя</w:t>
            </w:r>
          </w:p>
        </w:tc>
        <w:tc>
          <w:tcPr>
            <w:tcW w:w="913" w:type="dxa"/>
            <w:noWrap w:val="0"/>
            <w:vAlign w:val="top"/>
          </w:tcPr>
          <w:p>
            <w:r>
              <w:t xml:space="preserve">Код строки </w:t>
            </w:r>
          </w:p>
        </w:tc>
        <w:tc>
          <w:tcPr>
            <w:tcW w:w="1411" w:type="dxa"/>
            <w:noWrap w:val="0"/>
            <w:vAlign w:val="top"/>
          </w:tcPr>
          <w:p>
            <w:r>
              <w:t>Единица измерения</w:t>
            </w:r>
          </w:p>
        </w:tc>
        <w:tc>
          <w:tcPr>
            <w:tcW w:w="1537" w:type="dxa"/>
            <w:noWrap w:val="0"/>
            <w:vAlign w:val="top"/>
          </w:tcPr>
          <w:p>
            <w:r>
              <w:t>Сумма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646" w:type="dxa"/>
            <w:noWrap w:val="0"/>
            <w:vAlign w:val="top"/>
          </w:tcPr>
          <w:p>
            <w:r>
              <w:t>1</w:t>
            </w:r>
          </w:p>
        </w:tc>
        <w:tc>
          <w:tcPr>
            <w:tcW w:w="4815" w:type="dxa"/>
            <w:noWrap w:val="0"/>
            <w:vAlign w:val="top"/>
          </w:tcPr>
          <w:p>
            <w:r>
              <w:t>Прибыль до налогообложения</w:t>
            </w:r>
          </w:p>
        </w:tc>
        <w:tc>
          <w:tcPr>
            <w:tcW w:w="913" w:type="dxa"/>
            <w:noWrap w:val="0"/>
            <w:vAlign w:val="top"/>
          </w:tcPr>
          <w:p>
            <w:r>
              <w:t>010</w:t>
            </w:r>
          </w:p>
        </w:tc>
        <w:tc>
          <w:tcPr>
            <w:tcW w:w="1411" w:type="dxa"/>
            <w:noWrap w:val="0"/>
            <w:vAlign w:val="top"/>
          </w:tcPr>
          <w:p>
            <w:r>
              <w:t>руб.</w:t>
            </w:r>
          </w:p>
        </w:tc>
        <w:tc>
          <w:tcPr>
            <w:tcW w:w="1537"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646" w:type="dxa"/>
            <w:noWrap w:val="0"/>
            <w:vAlign w:val="top"/>
          </w:tcPr>
          <w:p>
            <w:r>
              <w:t>2</w:t>
            </w:r>
          </w:p>
        </w:tc>
        <w:tc>
          <w:tcPr>
            <w:tcW w:w="4815" w:type="dxa"/>
            <w:noWrap w:val="0"/>
            <w:vAlign w:val="top"/>
          </w:tcPr>
          <w:p>
            <w:r>
              <w:t>Налоги и другие обязательные платежи</w:t>
            </w:r>
          </w:p>
        </w:tc>
        <w:tc>
          <w:tcPr>
            <w:tcW w:w="913" w:type="dxa"/>
            <w:noWrap w:val="0"/>
            <w:vAlign w:val="top"/>
          </w:tcPr>
          <w:p>
            <w:r>
              <w:t>020</w:t>
            </w:r>
          </w:p>
        </w:tc>
        <w:tc>
          <w:tcPr>
            <w:tcW w:w="1411" w:type="dxa"/>
            <w:noWrap w:val="0"/>
            <w:vAlign w:val="top"/>
          </w:tcPr>
          <w:p>
            <w:r>
              <w:t>руб.</w:t>
            </w:r>
          </w:p>
        </w:tc>
        <w:tc>
          <w:tcPr>
            <w:tcW w:w="1537"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646" w:type="dxa"/>
            <w:noWrap w:val="0"/>
            <w:vAlign w:val="top"/>
          </w:tcPr>
          <w:p>
            <w:r>
              <w:t>3</w:t>
            </w:r>
          </w:p>
        </w:tc>
        <w:tc>
          <w:tcPr>
            <w:tcW w:w="4815" w:type="dxa"/>
            <w:noWrap w:val="0"/>
            <w:vAlign w:val="top"/>
          </w:tcPr>
          <w:p>
            <w:r>
              <w:t>Сумма прибыли, остающаяся после уплаты налогов и иных обязательных платежей (стр.010 - стр.020)</w:t>
            </w:r>
          </w:p>
        </w:tc>
        <w:tc>
          <w:tcPr>
            <w:tcW w:w="913" w:type="dxa"/>
            <w:noWrap w:val="0"/>
            <w:vAlign w:val="top"/>
          </w:tcPr>
          <w:p>
            <w:r>
              <w:t>030</w:t>
            </w:r>
          </w:p>
          <w:p/>
        </w:tc>
        <w:tc>
          <w:tcPr>
            <w:tcW w:w="1411" w:type="dxa"/>
            <w:noWrap w:val="0"/>
            <w:vAlign w:val="top"/>
          </w:tcPr>
          <w:p>
            <w:r>
              <w:t>руб.</w:t>
            </w:r>
          </w:p>
        </w:tc>
        <w:tc>
          <w:tcPr>
            <w:tcW w:w="1537"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646" w:type="dxa"/>
            <w:noWrap w:val="0"/>
            <w:vAlign w:val="top"/>
          </w:tcPr>
          <w:p>
            <w:r>
              <w:t>4</w:t>
            </w:r>
          </w:p>
        </w:tc>
        <w:tc>
          <w:tcPr>
            <w:tcW w:w="4815" w:type="dxa"/>
            <w:noWrap w:val="0"/>
            <w:vAlign w:val="top"/>
          </w:tcPr>
          <w:p>
            <w:r>
              <w:t>Норматив отчисления части прибыли</w:t>
            </w:r>
          </w:p>
        </w:tc>
        <w:tc>
          <w:tcPr>
            <w:tcW w:w="913" w:type="dxa"/>
            <w:noWrap w:val="0"/>
            <w:vAlign w:val="top"/>
          </w:tcPr>
          <w:p>
            <w:r>
              <w:t>040</w:t>
            </w:r>
          </w:p>
        </w:tc>
        <w:tc>
          <w:tcPr>
            <w:tcW w:w="1411" w:type="dxa"/>
            <w:noWrap w:val="0"/>
            <w:vAlign w:val="top"/>
          </w:tcPr>
          <w:p>
            <w:r>
              <w:t>%</w:t>
            </w:r>
          </w:p>
        </w:tc>
        <w:tc>
          <w:tcPr>
            <w:tcW w:w="1537"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646" w:type="dxa"/>
            <w:noWrap w:val="0"/>
            <w:vAlign w:val="top"/>
          </w:tcPr>
          <w:p>
            <w:r>
              <w:t>5</w:t>
            </w:r>
          </w:p>
        </w:tc>
        <w:tc>
          <w:tcPr>
            <w:tcW w:w="4815" w:type="dxa"/>
            <w:noWrap w:val="0"/>
            <w:vAlign w:val="top"/>
          </w:tcPr>
          <w:p>
            <w:r>
              <w:t>Сумма отчисления от прибыли, подлежащая перечислению в бюджет (стр.030 х стр.040)</w:t>
            </w:r>
          </w:p>
        </w:tc>
        <w:tc>
          <w:tcPr>
            <w:tcW w:w="913" w:type="dxa"/>
            <w:noWrap w:val="0"/>
            <w:vAlign w:val="top"/>
          </w:tcPr>
          <w:p>
            <w:r>
              <w:t>050</w:t>
            </w:r>
          </w:p>
          <w:p/>
        </w:tc>
        <w:tc>
          <w:tcPr>
            <w:tcW w:w="1411" w:type="dxa"/>
            <w:noWrap w:val="0"/>
            <w:vAlign w:val="top"/>
          </w:tcPr>
          <w:p>
            <w:r>
              <w:t>руб.</w:t>
            </w:r>
          </w:p>
        </w:tc>
        <w:tc>
          <w:tcPr>
            <w:tcW w:w="1537" w:type="dxa"/>
            <w:noWrap w:val="0"/>
            <w:vAlign w:val="top"/>
          </w:tcPr>
          <w:p/>
        </w:tc>
      </w:tr>
    </w:tbl>
    <w:p/>
    <w:p>
      <w:r>
        <w:t>Данные расчета соответствуют данным бухгалтерского учета муниципального предприятия _____________________________________________________________________________</w:t>
      </w:r>
    </w:p>
    <w:p>
      <w:pPr>
        <w:tabs>
          <w:tab w:val="left" w:pos="4155"/>
        </w:tabs>
        <w:jc w:val="center"/>
      </w:pPr>
      <w:r>
        <w:t>(полное наименование)</w:t>
      </w:r>
    </w:p>
    <w:p/>
    <w:p>
      <w:r>
        <w:t>по состоянию на 01 января 20____ года</w:t>
      </w:r>
    </w:p>
    <w:p/>
    <w:p>
      <w:r>
        <w:t xml:space="preserve">Руководитель             ________________________      _______________________ </w:t>
      </w:r>
    </w:p>
    <w:p>
      <w:pPr>
        <w:tabs>
          <w:tab w:val="left" w:pos="1905"/>
          <w:tab w:val="left" w:pos="5955"/>
        </w:tabs>
        <w:jc w:val="center"/>
      </w:pPr>
      <w:r>
        <w:t>(подпись)</w:t>
      </w:r>
      <w:r>
        <w:tab/>
      </w:r>
      <w:r>
        <w:t xml:space="preserve">                      (Ф.И.О.)</w:t>
      </w:r>
    </w:p>
    <w:p>
      <w:pPr>
        <w:tabs>
          <w:tab w:val="left" w:pos="1905"/>
          <w:tab w:val="left" w:pos="5955"/>
        </w:tabs>
      </w:pPr>
    </w:p>
    <w:p>
      <w:pPr>
        <w:tabs>
          <w:tab w:val="left" w:pos="1905"/>
          <w:tab w:val="left" w:pos="5955"/>
        </w:tabs>
      </w:pPr>
      <w:r>
        <w:t>Главный бухгалтер   ________________________      _______________________</w:t>
      </w:r>
    </w:p>
    <w:p>
      <w:pPr>
        <w:tabs>
          <w:tab w:val="left" w:pos="3210"/>
          <w:tab w:val="left" w:pos="7110"/>
        </w:tabs>
        <w:jc w:val="center"/>
      </w:pPr>
      <w:r>
        <w:t>(подпись)</w:t>
      </w:r>
      <w:r>
        <w:tab/>
      </w:r>
      <w:r>
        <w:t>(Ф.И.О.)</w:t>
      </w:r>
    </w:p>
    <w:p>
      <w:r>
        <w:t>М.П.</w:t>
      </w:r>
    </w:p>
    <w:p>
      <w:pPr>
        <w:ind w:firstLine="709"/>
        <w:jc w:val="both"/>
      </w:pPr>
      <w:r>
        <w:t>К расчету по установленной форме, муниципальное предприятие прилагает бухгалтерскую отчетность с отметкой налогового органа  о принятии отчетности (бухгалтерский баланс и отчет о финансовых результатах).</w:t>
      </w:r>
    </w:p>
    <w:p>
      <w:pPr>
        <w:ind w:firstLine="709"/>
        <w:jc w:val="both"/>
      </w:pPr>
      <w:r>
        <w:t>Промышленно-экономическое управление и ЖКХ администрации Богородского муниципального округа Нижегородской области в срок не позднее 20 мая представляет проверенные и заверенные  расчеты по исчислению суммы части прибыли, остающейся в распоряжении муниципального предприятия после уплаты налогов и иных обязательных платежей, подлежащей перечислению в доход бюджета Богородского муниципального округа Нижегородской области в Комитет по имуществу администрации округа.</w:t>
      </w:r>
    </w:p>
    <w:p>
      <w:pPr>
        <w:adjustRightInd w:val="0"/>
        <w:ind w:firstLine="709"/>
        <w:jc w:val="both"/>
      </w:pPr>
      <w:r>
        <w:t>7. Расчет подлежащей уплате в бюджет части прибыли предприятия представляется муниципальным предприятием независимо от наличия у него обязанности по уплате части прибыли за соответствующий период. При получении в отчетном периоде убытка расчетная база платежа за данный период признается равной нулю.</w:t>
      </w:r>
    </w:p>
    <w:p>
      <w:pPr>
        <w:adjustRightInd w:val="0"/>
        <w:ind w:firstLine="709"/>
        <w:jc w:val="both"/>
      </w:pPr>
      <w:r>
        <w:t>8. Срок перечисления части прибыли предприятия, подлежащей перечислению в бюджет Богородского муниципального округа Нижегородской области по итогам года, устанавливается не позднее 15 июня года, следующего за отчетным.</w:t>
      </w:r>
    </w:p>
    <w:p>
      <w:pPr>
        <w:adjustRightInd w:val="0"/>
        <w:ind w:firstLine="709"/>
        <w:jc w:val="both"/>
      </w:pPr>
      <w:r>
        <w:fldChar w:fldCharType="begin"/>
      </w:r>
      <w:r>
        <w:instrText xml:space="preserve">HYPERLINK consultantplus://offline/ref=794ABAF12AA2E34F6A4376558A0A912FF0AFBCA579133BB157D7906D79A863EB873D85A494F0ECDA5DAFCCiAKBJ </w:instrText>
      </w:r>
      <w:r>
        <w:fldChar w:fldCharType="separate"/>
      </w:r>
      <w:r>
        <w:t>9</w:t>
      </w:r>
      <w:r>
        <w:fldChar w:fldCharType="end"/>
      </w:r>
      <w:r>
        <w:t>. Руководители муниципальных предприятий несут персональную ответственность за достоверность данных о результатах финансово-хозяйственной деятельности предприятия, правильность исчисления и своевременность уплаты части прибыли предприятия, представление отчетности.</w:t>
      </w:r>
    </w:p>
    <w:p>
      <w:pPr>
        <w:adjustRightInd w:val="0"/>
        <w:ind w:firstLine="709"/>
        <w:jc w:val="both"/>
      </w:pPr>
      <w:r>
        <w:fldChar w:fldCharType="begin"/>
      </w:r>
      <w:r>
        <w:instrText xml:space="preserve">HYPERLINK consultantplus://offline/ref=794ABAF12AA2E34F6A4376558A0A912FF0AFBCA579133BB157D7906D79A863EB873D85A494F0ECDA5DAFCCiAKBJ </w:instrText>
      </w:r>
      <w:r>
        <w:fldChar w:fldCharType="separate"/>
      </w:r>
      <w:r>
        <w:t>10</w:t>
      </w:r>
      <w:r>
        <w:fldChar w:fldCharType="end"/>
      </w:r>
      <w:r>
        <w:t xml:space="preserve">. Учет и контроль за полнотой и своевременностью перечисления муниципальным предприятием части прибыли предприятия в бюджет Богородского муниципального округа Нижегородской области осуществляет Комитет по имуществу администрации округа. </w:t>
      </w:r>
    </w:p>
    <w:p>
      <w:pPr>
        <w:adjustRightInd w:val="0"/>
        <w:ind w:firstLine="709"/>
        <w:jc w:val="center"/>
        <w:rPr>
          <w:szCs w:val="28"/>
        </w:rPr>
      </w:pPr>
      <w:r>
        <w:t>___________________</w:t>
      </w:r>
    </w:p>
    <w:sectPr>
      <w:headerReference r:id="rId10" w:type="default"/>
      <w:type w:val="nextColumn"/>
      <w:pgSz w:w="11906" w:h="16838"/>
      <w:pgMar w:top="1134" w:right="850" w:bottom="1134" w:left="1701" w:header="709" w:footer="709"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ambria">
    <w:panose1 w:val="02040503050406030204"/>
    <w:charset w:val="CC"/>
    <w:family w:val="roman"/>
    <w:pitch w:val="default"/>
    <w:sig w:usb0="E00002FF" w:usb1="400004FF" w:usb2="00000000" w:usb3="00000000" w:csb0="2000019F" w:csb1="00000000"/>
  </w:font>
  <w:font w:name="Calibri">
    <w:panose1 w:val="020F0502020204030204"/>
    <w:charset w:val="CC"/>
    <w:family w:val="swiss"/>
    <w:pitch w:val="default"/>
    <w:sig w:usb0="E00002FF" w:usb1="4000ACFF" w:usb2="00000001" w:usb3="00000000" w:csb0="2000019F" w:csb1="00000000"/>
  </w:font>
  <w:font w:name="Courier New">
    <w:panose1 w:val="02070309020205020404"/>
    <w:charset w:val="CC"/>
    <w:family w:val="modern"/>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Arial Narrow">
    <w:altName w:val="Arial"/>
    <w:panose1 w:val="020B0606020202030204"/>
    <w:charset w:val="CC"/>
    <w:family w:val="swiss"/>
    <w:pitch w:val="default"/>
    <w:sig w:usb0="00000287" w:usb1="00000800" w:usb2="00000000" w:usb3="00000000" w:csb0="0000009F" w:csb1="00000000"/>
  </w:font>
  <w:font w:name="MS Mincho">
    <w:panose1 w:val="02020609040205080304"/>
    <w:charset w:val="80"/>
    <w:family w:val="modern"/>
    <w:pitch w:val="default"/>
    <w:sig w:usb0="E00002FF" w:usb1="6AC7FDFB" w:usb2="00000012" w:usb3="00000000" w:csb0="4002009F" w:csb1="DFD70000"/>
  </w:font>
  <w:font w:name="Lucida Sans Unicode">
    <w:panose1 w:val="020B0602030504020204"/>
    <w:charset w:val="CC"/>
    <w:family w:val="swiss"/>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rPr>
      <w:t>4</w:t>
    </w:r>
    <w:r>
      <w:fldChar w:fldCharType="end"/>
    </w:r>
  </w:p>
  <w:p>
    <w:pPr>
      <w:pStyle w:val="1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b/>
        <w:bCs/>
      </w:rPr>
      <w:object>
        <v:shape id="_x0000_i1025" o:spt="75" type="#_x0000_t75" style="height:54.2pt;width:50.15pt;" o:ole="t" fillcolor="#000011" filled="f" stroked="f" coordsize="21600,21600">
          <v:path/>
          <v:fill on="f" alignshape="1" focussize="0,0"/>
          <v:stroke on="f"/>
          <v:imagedata r:id="rId2" grayscale="t" bilevel="t" o:title=""/>
          <o:lock v:ext="edit" aspectratio="t"/>
          <w10:wrap type="none"/>
          <w10:anchorlock/>
        </v:shape>
        <o:OLEObject Type="Embed" ProgID="Word.Picture.8" ShapeID="_x0000_i1025" DrawAspect="Content" ObjectID="_1468075725" r:id="rId1">
          <o:LockedField>false</o:LockedField>
        </o:OLEObject>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lang/>
      </w:rPr>
      <w:t>30</w:t>
    </w:r>
    <w:r>
      <w:rPr>
        <w:rStyle w:val="15"/>
      </w:rPr>
      <w:fldChar w:fldCharType="end"/>
    </w:r>
  </w:p>
  <w:p>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rPr>
      <w:t>1</w:t>
    </w:r>
    <w:r>
      <w:fldChar w:fldCharType="end"/>
    </w:r>
  </w:p>
  <w:p>
    <w:pPr>
      <w:pStyle w:val="18"/>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rPr>
      <w:t>2</w:t>
    </w:r>
    <w:r>
      <w:fldChar w:fldCharType="end"/>
    </w:r>
  </w:p>
  <w:p>
    <w:pPr>
      <w:pStyle w:val="18"/>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57"/>
  <w:doNotHyphenateCaps/>
  <w:drawingGridHorizontalSpacing w:val="120"/>
  <w:displayHorizontalDrawingGridEvery w:val="2"/>
  <w:displayVerticalDrawingGridEvery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28"/>
    <w:rsid w:val="00004987"/>
    <w:rsid w:val="000054AC"/>
    <w:rsid w:val="00005C34"/>
    <w:rsid w:val="00011B89"/>
    <w:rsid w:val="00012C58"/>
    <w:rsid w:val="00013BB5"/>
    <w:rsid w:val="00016320"/>
    <w:rsid w:val="0001768C"/>
    <w:rsid w:val="00017B41"/>
    <w:rsid w:val="0002003A"/>
    <w:rsid w:val="0002119D"/>
    <w:rsid w:val="00023FBC"/>
    <w:rsid w:val="00030A3B"/>
    <w:rsid w:val="00030EAB"/>
    <w:rsid w:val="00031AA0"/>
    <w:rsid w:val="000320B6"/>
    <w:rsid w:val="000349F6"/>
    <w:rsid w:val="00035A71"/>
    <w:rsid w:val="00035D78"/>
    <w:rsid w:val="0003737E"/>
    <w:rsid w:val="00040C13"/>
    <w:rsid w:val="00043957"/>
    <w:rsid w:val="000440C6"/>
    <w:rsid w:val="00044299"/>
    <w:rsid w:val="00044CCE"/>
    <w:rsid w:val="000453BF"/>
    <w:rsid w:val="00051FEC"/>
    <w:rsid w:val="000524E7"/>
    <w:rsid w:val="00052C54"/>
    <w:rsid w:val="00053A80"/>
    <w:rsid w:val="00053F4F"/>
    <w:rsid w:val="00055EE0"/>
    <w:rsid w:val="000567A7"/>
    <w:rsid w:val="00057FCF"/>
    <w:rsid w:val="00062080"/>
    <w:rsid w:val="00062B4E"/>
    <w:rsid w:val="00064074"/>
    <w:rsid w:val="00065202"/>
    <w:rsid w:val="00066BF9"/>
    <w:rsid w:val="00066E0F"/>
    <w:rsid w:val="000718B7"/>
    <w:rsid w:val="000722C7"/>
    <w:rsid w:val="00072BED"/>
    <w:rsid w:val="00073040"/>
    <w:rsid w:val="000771AF"/>
    <w:rsid w:val="00080051"/>
    <w:rsid w:val="00080572"/>
    <w:rsid w:val="0008091B"/>
    <w:rsid w:val="0008204A"/>
    <w:rsid w:val="00083084"/>
    <w:rsid w:val="000851F5"/>
    <w:rsid w:val="00085803"/>
    <w:rsid w:val="00090C1A"/>
    <w:rsid w:val="00091AEA"/>
    <w:rsid w:val="00095C32"/>
    <w:rsid w:val="00097935"/>
    <w:rsid w:val="00097E71"/>
    <w:rsid w:val="000A0279"/>
    <w:rsid w:val="000A0570"/>
    <w:rsid w:val="000A186B"/>
    <w:rsid w:val="000A2BEB"/>
    <w:rsid w:val="000A435D"/>
    <w:rsid w:val="000A6D93"/>
    <w:rsid w:val="000B03E8"/>
    <w:rsid w:val="000B0D6E"/>
    <w:rsid w:val="000B25D6"/>
    <w:rsid w:val="000B34EB"/>
    <w:rsid w:val="000B361B"/>
    <w:rsid w:val="000B4FCC"/>
    <w:rsid w:val="000B5553"/>
    <w:rsid w:val="000B5747"/>
    <w:rsid w:val="000B7164"/>
    <w:rsid w:val="000B7CE4"/>
    <w:rsid w:val="000C13B1"/>
    <w:rsid w:val="000D0F2B"/>
    <w:rsid w:val="000D18CF"/>
    <w:rsid w:val="000D3F8B"/>
    <w:rsid w:val="000D4313"/>
    <w:rsid w:val="000E03DB"/>
    <w:rsid w:val="000E320E"/>
    <w:rsid w:val="000E4042"/>
    <w:rsid w:val="000E5946"/>
    <w:rsid w:val="000E6991"/>
    <w:rsid w:val="000F0A47"/>
    <w:rsid w:val="000F149A"/>
    <w:rsid w:val="000F3B09"/>
    <w:rsid w:val="000F5936"/>
    <w:rsid w:val="000F6150"/>
    <w:rsid w:val="000F7137"/>
    <w:rsid w:val="0010096D"/>
    <w:rsid w:val="001048B7"/>
    <w:rsid w:val="00111C78"/>
    <w:rsid w:val="00111FFC"/>
    <w:rsid w:val="00113C9F"/>
    <w:rsid w:val="00113F3F"/>
    <w:rsid w:val="001164B5"/>
    <w:rsid w:val="00120113"/>
    <w:rsid w:val="0012136E"/>
    <w:rsid w:val="0012343B"/>
    <w:rsid w:val="00123E5B"/>
    <w:rsid w:val="001242A6"/>
    <w:rsid w:val="001242AB"/>
    <w:rsid w:val="001248EF"/>
    <w:rsid w:val="00125FF2"/>
    <w:rsid w:val="00127053"/>
    <w:rsid w:val="00130D8C"/>
    <w:rsid w:val="00132F69"/>
    <w:rsid w:val="001330AB"/>
    <w:rsid w:val="00133472"/>
    <w:rsid w:val="001338C9"/>
    <w:rsid w:val="00134FA8"/>
    <w:rsid w:val="00135346"/>
    <w:rsid w:val="00136212"/>
    <w:rsid w:val="0014037F"/>
    <w:rsid w:val="0014058B"/>
    <w:rsid w:val="00141AE7"/>
    <w:rsid w:val="001428B5"/>
    <w:rsid w:val="00143199"/>
    <w:rsid w:val="00143527"/>
    <w:rsid w:val="00145BBC"/>
    <w:rsid w:val="00147F70"/>
    <w:rsid w:val="001502C0"/>
    <w:rsid w:val="00151240"/>
    <w:rsid w:val="0015144D"/>
    <w:rsid w:val="001546EE"/>
    <w:rsid w:val="0015598C"/>
    <w:rsid w:val="00155FB3"/>
    <w:rsid w:val="00160994"/>
    <w:rsid w:val="00160C5B"/>
    <w:rsid w:val="0016410D"/>
    <w:rsid w:val="001646FE"/>
    <w:rsid w:val="00166C5F"/>
    <w:rsid w:val="001671A7"/>
    <w:rsid w:val="00167FBB"/>
    <w:rsid w:val="00171B3C"/>
    <w:rsid w:val="00172563"/>
    <w:rsid w:val="00173B33"/>
    <w:rsid w:val="0017419F"/>
    <w:rsid w:val="001742FE"/>
    <w:rsid w:val="001743A6"/>
    <w:rsid w:val="00180296"/>
    <w:rsid w:val="00181644"/>
    <w:rsid w:val="00182289"/>
    <w:rsid w:val="00182CD8"/>
    <w:rsid w:val="001831B1"/>
    <w:rsid w:val="001838BB"/>
    <w:rsid w:val="00185D73"/>
    <w:rsid w:val="00190D41"/>
    <w:rsid w:val="00192731"/>
    <w:rsid w:val="001933C0"/>
    <w:rsid w:val="0019342C"/>
    <w:rsid w:val="001940B4"/>
    <w:rsid w:val="001943B1"/>
    <w:rsid w:val="001948AF"/>
    <w:rsid w:val="001972E1"/>
    <w:rsid w:val="001A0E40"/>
    <w:rsid w:val="001A32A6"/>
    <w:rsid w:val="001A5EF9"/>
    <w:rsid w:val="001A6058"/>
    <w:rsid w:val="001B2B8E"/>
    <w:rsid w:val="001B3850"/>
    <w:rsid w:val="001B71C1"/>
    <w:rsid w:val="001C0DAB"/>
    <w:rsid w:val="001C16B6"/>
    <w:rsid w:val="001C1F92"/>
    <w:rsid w:val="001C2A38"/>
    <w:rsid w:val="001C33D1"/>
    <w:rsid w:val="001C35D1"/>
    <w:rsid w:val="001C4E55"/>
    <w:rsid w:val="001C5225"/>
    <w:rsid w:val="001C5330"/>
    <w:rsid w:val="001C581C"/>
    <w:rsid w:val="001C588B"/>
    <w:rsid w:val="001C7E1D"/>
    <w:rsid w:val="001C7E5D"/>
    <w:rsid w:val="001D2C4F"/>
    <w:rsid w:val="001D2EBC"/>
    <w:rsid w:val="001D4F77"/>
    <w:rsid w:val="001D6AA7"/>
    <w:rsid w:val="001E0A56"/>
    <w:rsid w:val="001E1DA2"/>
    <w:rsid w:val="001E31C3"/>
    <w:rsid w:val="001E46EE"/>
    <w:rsid w:val="001E4FC7"/>
    <w:rsid w:val="001E6988"/>
    <w:rsid w:val="001F00F4"/>
    <w:rsid w:val="001F1149"/>
    <w:rsid w:val="001F1645"/>
    <w:rsid w:val="001F361D"/>
    <w:rsid w:val="001F4467"/>
    <w:rsid w:val="001F51E1"/>
    <w:rsid w:val="001F55F5"/>
    <w:rsid w:val="001F631B"/>
    <w:rsid w:val="001F7202"/>
    <w:rsid w:val="00201359"/>
    <w:rsid w:val="00201518"/>
    <w:rsid w:val="00205611"/>
    <w:rsid w:val="002058F6"/>
    <w:rsid w:val="00206D42"/>
    <w:rsid w:val="0021090B"/>
    <w:rsid w:val="00213170"/>
    <w:rsid w:val="00213943"/>
    <w:rsid w:val="002178D4"/>
    <w:rsid w:val="00221D73"/>
    <w:rsid w:val="00222EAD"/>
    <w:rsid w:val="002236EF"/>
    <w:rsid w:val="002254EB"/>
    <w:rsid w:val="00225F40"/>
    <w:rsid w:val="002267C0"/>
    <w:rsid w:val="00227AB2"/>
    <w:rsid w:val="00227B06"/>
    <w:rsid w:val="002318D3"/>
    <w:rsid w:val="00231C71"/>
    <w:rsid w:val="0023242A"/>
    <w:rsid w:val="00235CB6"/>
    <w:rsid w:val="00240154"/>
    <w:rsid w:val="00242753"/>
    <w:rsid w:val="0024494D"/>
    <w:rsid w:val="00245C5F"/>
    <w:rsid w:val="0024660F"/>
    <w:rsid w:val="0024791D"/>
    <w:rsid w:val="00247DBC"/>
    <w:rsid w:val="00250929"/>
    <w:rsid w:val="002523B0"/>
    <w:rsid w:val="00252FD5"/>
    <w:rsid w:val="0025406A"/>
    <w:rsid w:val="00254372"/>
    <w:rsid w:val="002570DB"/>
    <w:rsid w:val="00263D8D"/>
    <w:rsid w:val="00264A57"/>
    <w:rsid w:val="00265700"/>
    <w:rsid w:val="00265EAD"/>
    <w:rsid w:val="0026604E"/>
    <w:rsid w:val="00270FB2"/>
    <w:rsid w:val="002710C2"/>
    <w:rsid w:val="00271923"/>
    <w:rsid w:val="00271D1C"/>
    <w:rsid w:val="002721D4"/>
    <w:rsid w:val="00272C4A"/>
    <w:rsid w:val="0027525B"/>
    <w:rsid w:val="00275B3D"/>
    <w:rsid w:val="00277BA1"/>
    <w:rsid w:val="00280AD2"/>
    <w:rsid w:val="00280DC6"/>
    <w:rsid w:val="002813D7"/>
    <w:rsid w:val="002817F6"/>
    <w:rsid w:val="0028372F"/>
    <w:rsid w:val="00284D03"/>
    <w:rsid w:val="00285140"/>
    <w:rsid w:val="00286CF4"/>
    <w:rsid w:val="0029276E"/>
    <w:rsid w:val="002957C7"/>
    <w:rsid w:val="002972A4"/>
    <w:rsid w:val="002A5EEB"/>
    <w:rsid w:val="002A7635"/>
    <w:rsid w:val="002B14A7"/>
    <w:rsid w:val="002B4EA4"/>
    <w:rsid w:val="002B5718"/>
    <w:rsid w:val="002B75F5"/>
    <w:rsid w:val="002C080B"/>
    <w:rsid w:val="002C194D"/>
    <w:rsid w:val="002C29CB"/>
    <w:rsid w:val="002C2BE6"/>
    <w:rsid w:val="002C3853"/>
    <w:rsid w:val="002C5AA8"/>
    <w:rsid w:val="002C5FE8"/>
    <w:rsid w:val="002C6497"/>
    <w:rsid w:val="002C765A"/>
    <w:rsid w:val="002C7ED1"/>
    <w:rsid w:val="002D1D40"/>
    <w:rsid w:val="002D3BD2"/>
    <w:rsid w:val="002D4878"/>
    <w:rsid w:val="002D526F"/>
    <w:rsid w:val="002D559F"/>
    <w:rsid w:val="002D66CF"/>
    <w:rsid w:val="002E4927"/>
    <w:rsid w:val="002E5F99"/>
    <w:rsid w:val="002E7070"/>
    <w:rsid w:val="002F1861"/>
    <w:rsid w:val="002F35D6"/>
    <w:rsid w:val="002F3725"/>
    <w:rsid w:val="002F3C5E"/>
    <w:rsid w:val="002F4386"/>
    <w:rsid w:val="002F5676"/>
    <w:rsid w:val="002F7B60"/>
    <w:rsid w:val="003005FA"/>
    <w:rsid w:val="00300889"/>
    <w:rsid w:val="0030137A"/>
    <w:rsid w:val="003027D0"/>
    <w:rsid w:val="003034F9"/>
    <w:rsid w:val="00304AC7"/>
    <w:rsid w:val="0030584F"/>
    <w:rsid w:val="00311298"/>
    <w:rsid w:val="003139DE"/>
    <w:rsid w:val="00317866"/>
    <w:rsid w:val="00320B1C"/>
    <w:rsid w:val="00321F2D"/>
    <w:rsid w:val="00322EA5"/>
    <w:rsid w:val="00324A1E"/>
    <w:rsid w:val="00327745"/>
    <w:rsid w:val="00327EA0"/>
    <w:rsid w:val="00331643"/>
    <w:rsid w:val="00331E2A"/>
    <w:rsid w:val="00332969"/>
    <w:rsid w:val="003334A8"/>
    <w:rsid w:val="00333F6F"/>
    <w:rsid w:val="00335EF7"/>
    <w:rsid w:val="003370D1"/>
    <w:rsid w:val="00337A77"/>
    <w:rsid w:val="00343DAA"/>
    <w:rsid w:val="0034505F"/>
    <w:rsid w:val="00347B86"/>
    <w:rsid w:val="00350A0F"/>
    <w:rsid w:val="00352283"/>
    <w:rsid w:val="003529AB"/>
    <w:rsid w:val="00352E85"/>
    <w:rsid w:val="003571F6"/>
    <w:rsid w:val="0036082D"/>
    <w:rsid w:val="00360C15"/>
    <w:rsid w:val="00360D0B"/>
    <w:rsid w:val="00362767"/>
    <w:rsid w:val="00364054"/>
    <w:rsid w:val="003643ED"/>
    <w:rsid w:val="00364543"/>
    <w:rsid w:val="003648EF"/>
    <w:rsid w:val="0036693C"/>
    <w:rsid w:val="00367C60"/>
    <w:rsid w:val="00370B14"/>
    <w:rsid w:val="00373A3D"/>
    <w:rsid w:val="00373FDD"/>
    <w:rsid w:val="00376048"/>
    <w:rsid w:val="00376440"/>
    <w:rsid w:val="003764AA"/>
    <w:rsid w:val="003768FD"/>
    <w:rsid w:val="00376C3B"/>
    <w:rsid w:val="003778B9"/>
    <w:rsid w:val="00380C23"/>
    <w:rsid w:val="00381E3D"/>
    <w:rsid w:val="00382176"/>
    <w:rsid w:val="00382DF9"/>
    <w:rsid w:val="00385067"/>
    <w:rsid w:val="0038765D"/>
    <w:rsid w:val="00392205"/>
    <w:rsid w:val="00392A68"/>
    <w:rsid w:val="00393624"/>
    <w:rsid w:val="003938A3"/>
    <w:rsid w:val="00393F99"/>
    <w:rsid w:val="00396F0B"/>
    <w:rsid w:val="00396F0C"/>
    <w:rsid w:val="00396FB3"/>
    <w:rsid w:val="0039719E"/>
    <w:rsid w:val="00397739"/>
    <w:rsid w:val="003A1DA6"/>
    <w:rsid w:val="003A32DE"/>
    <w:rsid w:val="003A4F7F"/>
    <w:rsid w:val="003A5309"/>
    <w:rsid w:val="003A75AF"/>
    <w:rsid w:val="003B009A"/>
    <w:rsid w:val="003B00F6"/>
    <w:rsid w:val="003B02C9"/>
    <w:rsid w:val="003B0FEA"/>
    <w:rsid w:val="003B33C4"/>
    <w:rsid w:val="003B342D"/>
    <w:rsid w:val="003B5320"/>
    <w:rsid w:val="003B57EF"/>
    <w:rsid w:val="003C484F"/>
    <w:rsid w:val="003C5A97"/>
    <w:rsid w:val="003C74BE"/>
    <w:rsid w:val="003C772C"/>
    <w:rsid w:val="003D00B3"/>
    <w:rsid w:val="003D0A73"/>
    <w:rsid w:val="003D0F87"/>
    <w:rsid w:val="003D1414"/>
    <w:rsid w:val="003D27B4"/>
    <w:rsid w:val="003D2D02"/>
    <w:rsid w:val="003D41DA"/>
    <w:rsid w:val="003E05EC"/>
    <w:rsid w:val="003E18E0"/>
    <w:rsid w:val="003E4216"/>
    <w:rsid w:val="003E4C14"/>
    <w:rsid w:val="003E638A"/>
    <w:rsid w:val="003E7BBA"/>
    <w:rsid w:val="003F0085"/>
    <w:rsid w:val="003F0E7F"/>
    <w:rsid w:val="003F0F25"/>
    <w:rsid w:val="003F2B73"/>
    <w:rsid w:val="003F2DE3"/>
    <w:rsid w:val="003F30DA"/>
    <w:rsid w:val="003F5C7E"/>
    <w:rsid w:val="003F74F1"/>
    <w:rsid w:val="00400BEB"/>
    <w:rsid w:val="00400D75"/>
    <w:rsid w:val="00401002"/>
    <w:rsid w:val="00401B90"/>
    <w:rsid w:val="004026E4"/>
    <w:rsid w:val="00402D04"/>
    <w:rsid w:val="00404894"/>
    <w:rsid w:val="00404ECF"/>
    <w:rsid w:val="00405CE3"/>
    <w:rsid w:val="004068A5"/>
    <w:rsid w:val="00407393"/>
    <w:rsid w:val="004073EC"/>
    <w:rsid w:val="0041336C"/>
    <w:rsid w:val="00413D0B"/>
    <w:rsid w:val="00416000"/>
    <w:rsid w:val="0042138F"/>
    <w:rsid w:val="00421957"/>
    <w:rsid w:val="00422063"/>
    <w:rsid w:val="0042276D"/>
    <w:rsid w:val="004254B1"/>
    <w:rsid w:val="00427FC7"/>
    <w:rsid w:val="004302FB"/>
    <w:rsid w:val="00431544"/>
    <w:rsid w:val="004318B0"/>
    <w:rsid w:val="004321BD"/>
    <w:rsid w:val="00432388"/>
    <w:rsid w:val="004324D1"/>
    <w:rsid w:val="00432A26"/>
    <w:rsid w:val="004336E2"/>
    <w:rsid w:val="00434772"/>
    <w:rsid w:val="0043532D"/>
    <w:rsid w:val="0043724C"/>
    <w:rsid w:val="00437E35"/>
    <w:rsid w:val="00442083"/>
    <w:rsid w:val="0044377F"/>
    <w:rsid w:val="00443AD2"/>
    <w:rsid w:val="004441EF"/>
    <w:rsid w:val="00445E7F"/>
    <w:rsid w:val="004463B3"/>
    <w:rsid w:val="0044664F"/>
    <w:rsid w:val="00450697"/>
    <w:rsid w:val="00452225"/>
    <w:rsid w:val="00452CFE"/>
    <w:rsid w:val="00454022"/>
    <w:rsid w:val="00454551"/>
    <w:rsid w:val="004545B8"/>
    <w:rsid w:val="00455BA8"/>
    <w:rsid w:val="00456149"/>
    <w:rsid w:val="00457365"/>
    <w:rsid w:val="00460931"/>
    <w:rsid w:val="00461777"/>
    <w:rsid w:val="00462FEA"/>
    <w:rsid w:val="004630A4"/>
    <w:rsid w:val="00464013"/>
    <w:rsid w:val="00464F9D"/>
    <w:rsid w:val="004673DB"/>
    <w:rsid w:val="00467B91"/>
    <w:rsid w:val="0047172D"/>
    <w:rsid w:val="00471833"/>
    <w:rsid w:val="0047240C"/>
    <w:rsid w:val="00472B56"/>
    <w:rsid w:val="0047385A"/>
    <w:rsid w:val="00477EFD"/>
    <w:rsid w:val="00481C8A"/>
    <w:rsid w:val="004837CA"/>
    <w:rsid w:val="00484C97"/>
    <w:rsid w:val="0048544F"/>
    <w:rsid w:val="00486FE7"/>
    <w:rsid w:val="00487AB3"/>
    <w:rsid w:val="00492565"/>
    <w:rsid w:val="00495066"/>
    <w:rsid w:val="004959A9"/>
    <w:rsid w:val="004968E6"/>
    <w:rsid w:val="00497DCD"/>
    <w:rsid w:val="004A034C"/>
    <w:rsid w:val="004A0DB3"/>
    <w:rsid w:val="004A2B3C"/>
    <w:rsid w:val="004A534C"/>
    <w:rsid w:val="004A54B1"/>
    <w:rsid w:val="004A688F"/>
    <w:rsid w:val="004A6B72"/>
    <w:rsid w:val="004A7E38"/>
    <w:rsid w:val="004A7E58"/>
    <w:rsid w:val="004A7F28"/>
    <w:rsid w:val="004B02BF"/>
    <w:rsid w:val="004B1334"/>
    <w:rsid w:val="004B1B56"/>
    <w:rsid w:val="004B44CD"/>
    <w:rsid w:val="004B59A1"/>
    <w:rsid w:val="004B5D11"/>
    <w:rsid w:val="004B600C"/>
    <w:rsid w:val="004B7892"/>
    <w:rsid w:val="004C5126"/>
    <w:rsid w:val="004D4743"/>
    <w:rsid w:val="004D5748"/>
    <w:rsid w:val="004D5F3D"/>
    <w:rsid w:val="004D643C"/>
    <w:rsid w:val="004D7089"/>
    <w:rsid w:val="004E02B6"/>
    <w:rsid w:val="004E0629"/>
    <w:rsid w:val="004E1818"/>
    <w:rsid w:val="004E3070"/>
    <w:rsid w:val="004E4127"/>
    <w:rsid w:val="004E7A13"/>
    <w:rsid w:val="004E7B92"/>
    <w:rsid w:val="004E7EA0"/>
    <w:rsid w:val="004F189D"/>
    <w:rsid w:val="004F215A"/>
    <w:rsid w:val="004F42F0"/>
    <w:rsid w:val="004F4B8C"/>
    <w:rsid w:val="004F5412"/>
    <w:rsid w:val="004F5771"/>
    <w:rsid w:val="004F7E4D"/>
    <w:rsid w:val="005008DC"/>
    <w:rsid w:val="0050215E"/>
    <w:rsid w:val="00504C2F"/>
    <w:rsid w:val="00505774"/>
    <w:rsid w:val="00505CA6"/>
    <w:rsid w:val="005067EA"/>
    <w:rsid w:val="00510303"/>
    <w:rsid w:val="00511C8E"/>
    <w:rsid w:val="0051505A"/>
    <w:rsid w:val="0051517C"/>
    <w:rsid w:val="00515DF1"/>
    <w:rsid w:val="00522360"/>
    <w:rsid w:val="00522419"/>
    <w:rsid w:val="005236B6"/>
    <w:rsid w:val="00525938"/>
    <w:rsid w:val="00525A93"/>
    <w:rsid w:val="005263C1"/>
    <w:rsid w:val="005268E9"/>
    <w:rsid w:val="00526B3A"/>
    <w:rsid w:val="00526C2A"/>
    <w:rsid w:val="00531FBE"/>
    <w:rsid w:val="005337F7"/>
    <w:rsid w:val="00533864"/>
    <w:rsid w:val="00534495"/>
    <w:rsid w:val="00534938"/>
    <w:rsid w:val="00535659"/>
    <w:rsid w:val="0053681E"/>
    <w:rsid w:val="005379FB"/>
    <w:rsid w:val="005414AE"/>
    <w:rsid w:val="00545500"/>
    <w:rsid w:val="0054724F"/>
    <w:rsid w:val="00551390"/>
    <w:rsid w:val="00553DD5"/>
    <w:rsid w:val="00560A70"/>
    <w:rsid w:val="00560ED5"/>
    <w:rsid w:val="005615D0"/>
    <w:rsid w:val="00561F6A"/>
    <w:rsid w:val="00562F66"/>
    <w:rsid w:val="005630B7"/>
    <w:rsid w:val="0057035A"/>
    <w:rsid w:val="005726F2"/>
    <w:rsid w:val="00575419"/>
    <w:rsid w:val="0057574E"/>
    <w:rsid w:val="00576342"/>
    <w:rsid w:val="005769C3"/>
    <w:rsid w:val="00577BF4"/>
    <w:rsid w:val="00577C84"/>
    <w:rsid w:val="0058012C"/>
    <w:rsid w:val="00580406"/>
    <w:rsid w:val="00580F5D"/>
    <w:rsid w:val="00581A71"/>
    <w:rsid w:val="00584CC8"/>
    <w:rsid w:val="00585476"/>
    <w:rsid w:val="00592A3B"/>
    <w:rsid w:val="005951B0"/>
    <w:rsid w:val="005955CC"/>
    <w:rsid w:val="00596B99"/>
    <w:rsid w:val="005A00C8"/>
    <w:rsid w:val="005A0631"/>
    <w:rsid w:val="005A1530"/>
    <w:rsid w:val="005A2E58"/>
    <w:rsid w:val="005A3927"/>
    <w:rsid w:val="005A4EF0"/>
    <w:rsid w:val="005A6EB7"/>
    <w:rsid w:val="005A7823"/>
    <w:rsid w:val="005B1BA3"/>
    <w:rsid w:val="005B2578"/>
    <w:rsid w:val="005B3156"/>
    <w:rsid w:val="005B415B"/>
    <w:rsid w:val="005B5689"/>
    <w:rsid w:val="005B6439"/>
    <w:rsid w:val="005B7176"/>
    <w:rsid w:val="005C0625"/>
    <w:rsid w:val="005C0671"/>
    <w:rsid w:val="005C15D0"/>
    <w:rsid w:val="005C2431"/>
    <w:rsid w:val="005C47A9"/>
    <w:rsid w:val="005C5D5B"/>
    <w:rsid w:val="005C6F7B"/>
    <w:rsid w:val="005C7C9E"/>
    <w:rsid w:val="005D0E29"/>
    <w:rsid w:val="005D2477"/>
    <w:rsid w:val="005D3265"/>
    <w:rsid w:val="005D4C36"/>
    <w:rsid w:val="005D6AFE"/>
    <w:rsid w:val="005D6D05"/>
    <w:rsid w:val="005E22ED"/>
    <w:rsid w:val="005E2C14"/>
    <w:rsid w:val="005E2FCB"/>
    <w:rsid w:val="005E30EB"/>
    <w:rsid w:val="005E3B45"/>
    <w:rsid w:val="005E48D6"/>
    <w:rsid w:val="005F00F7"/>
    <w:rsid w:val="005F0A8E"/>
    <w:rsid w:val="005F0EC3"/>
    <w:rsid w:val="005F15DF"/>
    <w:rsid w:val="005F330F"/>
    <w:rsid w:val="005F39C5"/>
    <w:rsid w:val="005F5C20"/>
    <w:rsid w:val="005F6475"/>
    <w:rsid w:val="005F680D"/>
    <w:rsid w:val="005F7396"/>
    <w:rsid w:val="005F7DD0"/>
    <w:rsid w:val="005F7E7E"/>
    <w:rsid w:val="00600BD1"/>
    <w:rsid w:val="00600C4A"/>
    <w:rsid w:val="00600E6E"/>
    <w:rsid w:val="00605399"/>
    <w:rsid w:val="006058C9"/>
    <w:rsid w:val="00605FC3"/>
    <w:rsid w:val="006068E8"/>
    <w:rsid w:val="00606CAE"/>
    <w:rsid w:val="00606CED"/>
    <w:rsid w:val="00610A3D"/>
    <w:rsid w:val="0061243A"/>
    <w:rsid w:val="0061283E"/>
    <w:rsid w:val="006143C5"/>
    <w:rsid w:val="0062041E"/>
    <w:rsid w:val="00624AF2"/>
    <w:rsid w:val="006254A3"/>
    <w:rsid w:val="0062590D"/>
    <w:rsid w:val="0063305A"/>
    <w:rsid w:val="006338E9"/>
    <w:rsid w:val="00635C6A"/>
    <w:rsid w:val="00637529"/>
    <w:rsid w:val="006375DA"/>
    <w:rsid w:val="006419E1"/>
    <w:rsid w:val="0064309D"/>
    <w:rsid w:val="00644B90"/>
    <w:rsid w:val="0064524F"/>
    <w:rsid w:val="00650406"/>
    <w:rsid w:val="006515F3"/>
    <w:rsid w:val="006529BC"/>
    <w:rsid w:val="006534D6"/>
    <w:rsid w:val="0065471D"/>
    <w:rsid w:val="00654DEC"/>
    <w:rsid w:val="00660B66"/>
    <w:rsid w:val="00664344"/>
    <w:rsid w:val="0066434C"/>
    <w:rsid w:val="006652E1"/>
    <w:rsid w:val="006659AD"/>
    <w:rsid w:val="00665DEF"/>
    <w:rsid w:val="006660A4"/>
    <w:rsid w:val="00667EE5"/>
    <w:rsid w:val="00667F47"/>
    <w:rsid w:val="00670AFD"/>
    <w:rsid w:val="00671152"/>
    <w:rsid w:val="0067155D"/>
    <w:rsid w:val="00675361"/>
    <w:rsid w:val="006818FA"/>
    <w:rsid w:val="00682FE2"/>
    <w:rsid w:val="0068444B"/>
    <w:rsid w:val="0068660F"/>
    <w:rsid w:val="00690762"/>
    <w:rsid w:val="006961D5"/>
    <w:rsid w:val="00696885"/>
    <w:rsid w:val="006A0147"/>
    <w:rsid w:val="006A2E67"/>
    <w:rsid w:val="006A2E74"/>
    <w:rsid w:val="006A5130"/>
    <w:rsid w:val="006A66A9"/>
    <w:rsid w:val="006A7389"/>
    <w:rsid w:val="006A7671"/>
    <w:rsid w:val="006B0E6C"/>
    <w:rsid w:val="006B19D4"/>
    <w:rsid w:val="006B1BA5"/>
    <w:rsid w:val="006C10A1"/>
    <w:rsid w:val="006C2995"/>
    <w:rsid w:val="006C3AF9"/>
    <w:rsid w:val="006C5489"/>
    <w:rsid w:val="006C57EF"/>
    <w:rsid w:val="006C758C"/>
    <w:rsid w:val="006D07B5"/>
    <w:rsid w:val="006D3236"/>
    <w:rsid w:val="006D4B8D"/>
    <w:rsid w:val="006D5171"/>
    <w:rsid w:val="006D716F"/>
    <w:rsid w:val="006D7F5A"/>
    <w:rsid w:val="006E17B2"/>
    <w:rsid w:val="006E1E3D"/>
    <w:rsid w:val="006E4A4B"/>
    <w:rsid w:val="006E5ABA"/>
    <w:rsid w:val="006F27D3"/>
    <w:rsid w:val="006F4CE0"/>
    <w:rsid w:val="006F4FD3"/>
    <w:rsid w:val="006F54A6"/>
    <w:rsid w:val="00700626"/>
    <w:rsid w:val="00703457"/>
    <w:rsid w:val="007069B5"/>
    <w:rsid w:val="00707BCA"/>
    <w:rsid w:val="00711C5A"/>
    <w:rsid w:val="00712855"/>
    <w:rsid w:val="00713470"/>
    <w:rsid w:val="00716384"/>
    <w:rsid w:val="007168DC"/>
    <w:rsid w:val="00720DC6"/>
    <w:rsid w:val="007219E3"/>
    <w:rsid w:val="00722B95"/>
    <w:rsid w:val="00723928"/>
    <w:rsid w:val="00723C14"/>
    <w:rsid w:val="007240AE"/>
    <w:rsid w:val="00724195"/>
    <w:rsid w:val="00724380"/>
    <w:rsid w:val="00724E0A"/>
    <w:rsid w:val="00727FC1"/>
    <w:rsid w:val="00730CA2"/>
    <w:rsid w:val="00732271"/>
    <w:rsid w:val="00736830"/>
    <w:rsid w:val="00736B75"/>
    <w:rsid w:val="00737D22"/>
    <w:rsid w:val="007439F2"/>
    <w:rsid w:val="007453B9"/>
    <w:rsid w:val="00745443"/>
    <w:rsid w:val="00747781"/>
    <w:rsid w:val="00750243"/>
    <w:rsid w:val="00751D74"/>
    <w:rsid w:val="00754E0B"/>
    <w:rsid w:val="007563B2"/>
    <w:rsid w:val="0075697B"/>
    <w:rsid w:val="00773DB4"/>
    <w:rsid w:val="00775C3C"/>
    <w:rsid w:val="00776AA0"/>
    <w:rsid w:val="0078156E"/>
    <w:rsid w:val="0078201A"/>
    <w:rsid w:val="0078242F"/>
    <w:rsid w:val="00783857"/>
    <w:rsid w:val="00787A7F"/>
    <w:rsid w:val="00787D9D"/>
    <w:rsid w:val="0079144B"/>
    <w:rsid w:val="00791684"/>
    <w:rsid w:val="007938BB"/>
    <w:rsid w:val="00797B63"/>
    <w:rsid w:val="007A1ACB"/>
    <w:rsid w:val="007A26D2"/>
    <w:rsid w:val="007A3C04"/>
    <w:rsid w:val="007A41E0"/>
    <w:rsid w:val="007A42F2"/>
    <w:rsid w:val="007A6206"/>
    <w:rsid w:val="007A6BDE"/>
    <w:rsid w:val="007A6D9F"/>
    <w:rsid w:val="007A777B"/>
    <w:rsid w:val="007A7C1E"/>
    <w:rsid w:val="007B0ABB"/>
    <w:rsid w:val="007B0D11"/>
    <w:rsid w:val="007B3640"/>
    <w:rsid w:val="007C1E32"/>
    <w:rsid w:val="007C2FA0"/>
    <w:rsid w:val="007C3058"/>
    <w:rsid w:val="007C3317"/>
    <w:rsid w:val="007C351D"/>
    <w:rsid w:val="007C3702"/>
    <w:rsid w:val="007C3948"/>
    <w:rsid w:val="007C474E"/>
    <w:rsid w:val="007D012E"/>
    <w:rsid w:val="007D1BF4"/>
    <w:rsid w:val="007D773B"/>
    <w:rsid w:val="007E00CD"/>
    <w:rsid w:val="007E3D55"/>
    <w:rsid w:val="007E598A"/>
    <w:rsid w:val="007E78E3"/>
    <w:rsid w:val="007E7FCD"/>
    <w:rsid w:val="007F1CC0"/>
    <w:rsid w:val="007F3730"/>
    <w:rsid w:val="007F37D8"/>
    <w:rsid w:val="007F4880"/>
    <w:rsid w:val="007F6AD6"/>
    <w:rsid w:val="007F7D93"/>
    <w:rsid w:val="008013B6"/>
    <w:rsid w:val="00802AD7"/>
    <w:rsid w:val="0080353E"/>
    <w:rsid w:val="00806F1C"/>
    <w:rsid w:val="00811EB7"/>
    <w:rsid w:val="00812F54"/>
    <w:rsid w:val="00813ECA"/>
    <w:rsid w:val="00813EFA"/>
    <w:rsid w:val="00814CEB"/>
    <w:rsid w:val="00815CE7"/>
    <w:rsid w:val="008176E7"/>
    <w:rsid w:val="00817E2D"/>
    <w:rsid w:val="0082109D"/>
    <w:rsid w:val="0082244B"/>
    <w:rsid w:val="00826865"/>
    <w:rsid w:val="008327A2"/>
    <w:rsid w:val="00832D28"/>
    <w:rsid w:val="00833A2F"/>
    <w:rsid w:val="00837456"/>
    <w:rsid w:val="00837BD2"/>
    <w:rsid w:val="00837C90"/>
    <w:rsid w:val="00840158"/>
    <w:rsid w:val="00841791"/>
    <w:rsid w:val="008419FD"/>
    <w:rsid w:val="0084312F"/>
    <w:rsid w:val="00846294"/>
    <w:rsid w:val="00846F52"/>
    <w:rsid w:val="008514C1"/>
    <w:rsid w:val="0085282C"/>
    <w:rsid w:val="00852E70"/>
    <w:rsid w:val="00854EB0"/>
    <w:rsid w:val="00855396"/>
    <w:rsid w:val="00856502"/>
    <w:rsid w:val="008610C1"/>
    <w:rsid w:val="008610DD"/>
    <w:rsid w:val="00861CBC"/>
    <w:rsid w:val="00863428"/>
    <w:rsid w:val="0086469F"/>
    <w:rsid w:val="00865455"/>
    <w:rsid w:val="0086553A"/>
    <w:rsid w:val="00865EC8"/>
    <w:rsid w:val="00866018"/>
    <w:rsid w:val="008701D4"/>
    <w:rsid w:val="008705B5"/>
    <w:rsid w:val="008727CE"/>
    <w:rsid w:val="00872C09"/>
    <w:rsid w:val="00872E29"/>
    <w:rsid w:val="0087301D"/>
    <w:rsid w:val="00875A49"/>
    <w:rsid w:val="0088005D"/>
    <w:rsid w:val="00880167"/>
    <w:rsid w:val="00882D6F"/>
    <w:rsid w:val="008841E5"/>
    <w:rsid w:val="008848B0"/>
    <w:rsid w:val="00886042"/>
    <w:rsid w:val="00886E78"/>
    <w:rsid w:val="008906A6"/>
    <w:rsid w:val="008912BD"/>
    <w:rsid w:val="00892204"/>
    <w:rsid w:val="00892E03"/>
    <w:rsid w:val="00894E0E"/>
    <w:rsid w:val="00894E47"/>
    <w:rsid w:val="008966C6"/>
    <w:rsid w:val="00896A42"/>
    <w:rsid w:val="008A07E9"/>
    <w:rsid w:val="008A0CD1"/>
    <w:rsid w:val="008A10C2"/>
    <w:rsid w:val="008A1901"/>
    <w:rsid w:val="008A1BA8"/>
    <w:rsid w:val="008A2902"/>
    <w:rsid w:val="008A2D26"/>
    <w:rsid w:val="008A4658"/>
    <w:rsid w:val="008A4A55"/>
    <w:rsid w:val="008A55C4"/>
    <w:rsid w:val="008A6EA5"/>
    <w:rsid w:val="008A71E8"/>
    <w:rsid w:val="008B1E06"/>
    <w:rsid w:val="008B4DBC"/>
    <w:rsid w:val="008B6259"/>
    <w:rsid w:val="008B7171"/>
    <w:rsid w:val="008C0C66"/>
    <w:rsid w:val="008C2506"/>
    <w:rsid w:val="008C797A"/>
    <w:rsid w:val="008C7E59"/>
    <w:rsid w:val="008D1923"/>
    <w:rsid w:val="008D1A4E"/>
    <w:rsid w:val="008D2367"/>
    <w:rsid w:val="008D2A48"/>
    <w:rsid w:val="008D4D23"/>
    <w:rsid w:val="008D596C"/>
    <w:rsid w:val="008D70A9"/>
    <w:rsid w:val="008E155F"/>
    <w:rsid w:val="008E21BA"/>
    <w:rsid w:val="008E3481"/>
    <w:rsid w:val="008E3616"/>
    <w:rsid w:val="008E4226"/>
    <w:rsid w:val="008E5AD9"/>
    <w:rsid w:val="008E6DC7"/>
    <w:rsid w:val="008F02FE"/>
    <w:rsid w:val="008F11B8"/>
    <w:rsid w:val="008F20A9"/>
    <w:rsid w:val="008F52CD"/>
    <w:rsid w:val="008F5549"/>
    <w:rsid w:val="008F6387"/>
    <w:rsid w:val="008F6EE0"/>
    <w:rsid w:val="008F77B1"/>
    <w:rsid w:val="0090347F"/>
    <w:rsid w:val="009073BD"/>
    <w:rsid w:val="00912D20"/>
    <w:rsid w:val="00913A9D"/>
    <w:rsid w:val="00914E7C"/>
    <w:rsid w:val="00916E26"/>
    <w:rsid w:val="009208E1"/>
    <w:rsid w:val="0092384A"/>
    <w:rsid w:val="00923A4C"/>
    <w:rsid w:val="00924C7F"/>
    <w:rsid w:val="0093000D"/>
    <w:rsid w:val="009309D5"/>
    <w:rsid w:val="0093413A"/>
    <w:rsid w:val="00936680"/>
    <w:rsid w:val="009368A6"/>
    <w:rsid w:val="00936F96"/>
    <w:rsid w:val="00942AC9"/>
    <w:rsid w:val="0094556B"/>
    <w:rsid w:val="009473AE"/>
    <w:rsid w:val="00947442"/>
    <w:rsid w:val="00950348"/>
    <w:rsid w:val="00950643"/>
    <w:rsid w:val="00950790"/>
    <w:rsid w:val="0095414C"/>
    <w:rsid w:val="009548C8"/>
    <w:rsid w:val="00955E4C"/>
    <w:rsid w:val="00956AFA"/>
    <w:rsid w:val="009615DB"/>
    <w:rsid w:val="00961A28"/>
    <w:rsid w:val="00971A00"/>
    <w:rsid w:val="009728FF"/>
    <w:rsid w:val="0097290B"/>
    <w:rsid w:val="009752D8"/>
    <w:rsid w:val="0097567D"/>
    <w:rsid w:val="00975F98"/>
    <w:rsid w:val="00976C35"/>
    <w:rsid w:val="0097743F"/>
    <w:rsid w:val="00980AC4"/>
    <w:rsid w:val="00983E57"/>
    <w:rsid w:val="0098528C"/>
    <w:rsid w:val="00986A5E"/>
    <w:rsid w:val="00987FF1"/>
    <w:rsid w:val="009932E3"/>
    <w:rsid w:val="009935B4"/>
    <w:rsid w:val="00994CB6"/>
    <w:rsid w:val="00995150"/>
    <w:rsid w:val="00995BA3"/>
    <w:rsid w:val="00995D55"/>
    <w:rsid w:val="00996047"/>
    <w:rsid w:val="00996C40"/>
    <w:rsid w:val="009A0110"/>
    <w:rsid w:val="009A0258"/>
    <w:rsid w:val="009A30E5"/>
    <w:rsid w:val="009A326E"/>
    <w:rsid w:val="009A38B1"/>
    <w:rsid w:val="009A67A5"/>
    <w:rsid w:val="009A6E6B"/>
    <w:rsid w:val="009B3691"/>
    <w:rsid w:val="009B486B"/>
    <w:rsid w:val="009B4B96"/>
    <w:rsid w:val="009B4F64"/>
    <w:rsid w:val="009B7861"/>
    <w:rsid w:val="009C07A6"/>
    <w:rsid w:val="009C0F85"/>
    <w:rsid w:val="009C176A"/>
    <w:rsid w:val="009C456C"/>
    <w:rsid w:val="009C6654"/>
    <w:rsid w:val="009D0ACD"/>
    <w:rsid w:val="009D216A"/>
    <w:rsid w:val="009D603E"/>
    <w:rsid w:val="009E00E0"/>
    <w:rsid w:val="009E029C"/>
    <w:rsid w:val="009E2978"/>
    <w:rsid w:val="009E2E6D"/>
    <w:rsid w:val="009E3521"/>
    <w:rsid w:val="009E64A7"/>
    <w:rsid w:val="009E6782"/>
    <w:rsid w:val="009E6BDB"/>
    <w:rsid w:val="009E7C3C"/>
    <w:rsid w:val="009F1118"/>
    <w:rsid w:val="009F2AF7"/>
    <w:rsid w:val="009F3596"/>
    <w:rsid w:val="009F6615"/>
    <w:rsid w:val="009F76BB"/>
    <w:rsid w:val="00A0079B"/>
    <w:rsid w:val="00A0388F"/>
    <w:rsid w:val="00A03E7C"/>
    <w:rsid w:val="00A05D58"/>
    <w:rsid w:val="00A06613"/>
    <w:rsid w:val="00A06E52"/>
    <w:rsid w:val="00A07092"/>
    <w:rsid w:val="00A07A9A"/>
    <w:rsid w:val="00A10463"/>
    <w:rsid w:val="00A11DD0"/>
    <w:rsid w:val="00A14968"/>
    <w:rsid w:val="00A14A87"/>
    <w:rsid w:val="00A1506A"/>
    <w:rsid w:val="00A15383"/>
    <w:rsid w:val="00A1626D"/>
    <w:rsid w:val="00A16960"/>
    <w:rsid w:val="00A16AA4"/>
    <w:rsid w:val="00A17279"/>
    <w:rsid w:val="00A1734A"/>
    <w:rsid w:val="00A1736E"/>
    <w:rsid w:val="00A206B3"/>
    <w:rsid w:val="00A207E0"/>
    <w:rsid w:val="00A2169C"/>
    <w:rsid w:val="00A23A07"/>
    <w:rsid w:val="00A27724"/>
    <w:rsid w:val="00A27E86"/>
    <w:rsid w:val="00A305B4"/>
    <w:rsid w:val="00A331F6"/>
    <w:rsid w:val="00A33ACB"/>
    <w:rsid w:val="00A33B9E"/>
    <w:rsid w:val="00A34125"/>
    <w:rsid w:val="00A3497F"/>
    <w:rsid w:val="00A369CA"/>
    <w:rsid w:val="00A4030F"/>
    <w:rsid w:val="00A41462"/>
    <w:rsid w:val="00A42994"/>
    <w:rsid w:val="00A42C62"/>
    <w:rsid w:val="00A43F42"/>
    <w:rsid w:val="00A4527B"/>
    <w:rsid w:val="00A45573"/>
    <w:rsid w:val="00A45EB2"/>
    <w:rsid w:val="00A47D0B"/>
    <w:rsid w:val="00A51564"/>
    <w:rsid w:val="00A524DC"/>
    <w:rsid w:val="00A53A8F"/>
    <w:rsid w:val="00A55A94"/>
    <w:rsid w:val="00A579F7"/>
    <w:rsid w:val="00A606B9"/>
    <w:rsid w:val="00A6109A"/>
    <w:rsid w:val="00A6283C"/>
    <w:rsid w:val="00A644B4"/>
    <w:rsid w:val="00A64DCF"/>
    <w:rsid w:val="00A66156"/>
    <w:rsid w:val="00A665C6"/>
    <w:rsid w:val="00A67061"/>
    <w:rsid w:val="00A701DE"/>
    <w:rsid w:val="00A71BFC"/>
    <w:rsid w:val="00A71E86"/>
    <w:rsid w:val="00A7223E"/>
    <w:rsid w:val="00A7240A"/>
    <w:rsid w:val="00A72591"/>
    <w:rsid w:val="00A7265F"/>
    <w:rsid w:val="00A729C1"/>
    <w:rsid w:val="00A72E4B"/>
    <w:rsid w:val="00A7698F"/>
    <w:rsid w:val="00A76DAF"/>
    <w:rsid w:val="00A77670"/>
    <w:rsid w:val="00A81876"/>
    <w:rsid w:val="00A855A7"/>
    <w:rsid w:val="00A86ED0"/>
    <w:rsid w:val="00A93D57"/>
    <w:rsid w:val="00A95956"/>
    <w:rsid w:val="00A97525"/>
    <w:rsid w:val="00A97975"/>
    <w:rsid w:val="00AA0DE6"/>
    <w:rsid w:val="00AA2C6E"/>
    <w:rsid w:val="00AA519C"/>
    <w:rsid w:val="00AA51D5"/>
    <w:rsid w:val="00AA5983"/>
    <w:rsid w:val="00AA5A0F"/>
    <w:rsid w:val="00AA68BC"/>
    <w:rsid w:val="00AA7645"/>
    <w:rsid w:val="00AA7E96"/>
    <w:rsid w:val="00AA7F25"/>
    <w:rsid w:val="00AB0405"/>
    <w:rsid w:val="00AB25CB"/>
    <w:rsid w:val="00AB6FBE"/>
    <w:rsid w:val="00AB71A4"/>
    <w:rsid w:val="00AB7AA5"/>
    <w:rsid w:val="00AC0C0C"/>
    <w:rsid w:val="00AC15FA"/>
    <w:rsid w:val="00AC292E"/>
    <w:rsid w:val="00AC2C02"/>
    <w:rsid w:val="00AC3012"/>
    <w:rsid w:val="00AC3D78"/>
    <w:rsid w:val="00AC4104"/>
    <w:rsid w:val="00AC4A68"/>
    <w:rsid w:val="00AC5492"/>
    <w:rsid w:val="00AC722A"/>
    <w:rsid w:val="00AD1351"/>
    <w:rsid w:val="00AD1AF0"/>
    <w:rsid w:val="00AD1D9E"/>
    <w:rsid w:val="00AD2245"/>
    <w:rsid w:val="00AD2CA9"/>
    <w:rsid w:val="00AD2D71"/>
    <w:rsid w:val="00AD3D5B"/>
    <w:rsid w:val="00AD4420"/>
    <w:rsid w:val="00AD524E"/>
    <w:rsid w:val="00AD698C"/>
    <w:rsid w:val="00AD6C64"/>
    <w:rsid w:val="00AD777E"/>
    <w:rsid w:val="00AE059D"/>
    <w:rsid w:val="00AE1857"/>
    <w:rsid w:val="00AE46AA"/>
    <w:rsid w:val="00AE674E"/>
    <w:rsid w:val="00AF0F96"/>
    <w:rsid w:val="00AF1385"/>
    <w:rsid w:val="00AF653B"/>
    <w:rsid w:val="00AF670E"/>
    <w:rsid w:val="00B00827"/>
    <w:rsid w:val="00B00CEC"/>
    <w:rsid w:val="00B03618"/>
    <w:rsid w:val="00B03F44"/>
    <w:rsid w:val="00B055AE"/>
    <w:rsid w:val="00B05F6D"/>
    <w:rsid w:val="00B10809"/>
    <w:rsid w:val="00B11A0F"/>
    <w:rsid w:val="00B12467"/>
    <w:rsid w:val="00B13CE9"/>
    <w:rsid w:val="00B1441E"/>
    <w:rsid w:val="00B15304"/>
    <w:rsid w:val="00B164C2"/>
    <w:rsid w:val="00B168E1"/>
    <w:rsid w:val="00B168FE"/>
    <w:rsid w:val="00B1735A"/>
    <w:rsid w:val="00B175ED"/>
    <w:rsid w:val="00B211C7"/>
    <w:rsid w:val="00B2144D"/>
    <w:rsid w:val="00B219B9"/>
    <w:rsid w:val="00B2307C"/>
    <w:rsid w:val="00B23BC6"/>
    <w:rsid w:val="00B23FEB"/>
    <w:rsid w:val="00B24A70"/>
    <w:rsid w:val="00B266A6"/>
    <w:rsid w:val="00B274C0"/>
    <w:rsid w:val="00B2792C"/>
    <w:rsid w:val="00B27CA8"/>
    <w:rsid w:val="00B30B36"/>
    <w:rsid w:val="00B314FC"/>
    <w:rsid w:val="00B3322A"/>
    <w:rsid w:val="00B33439"/>
    <w:rsid w:val="00B33497"/>
    <w:rsid w:val="00B34387"/>
    <w:rsid w:val="00B354C9"/>
    <w:rsid w:val="00B358D1"/>
    <w:rsid w:val="00B40C33"/>
    <w:rsid w:val="00B41A8B"/>
    <w:rsid w:val="00B42638"/>
    <w:rsid w:val="00B42701"/>
    <w:rsid w:val="00B44655"/>
    <w:rsid w:val="00B46F1A"/>
    <w:rsid w:val="00B530E0"/>
    <w:rsid w:val="00B54009"/>
    <w:rsid w:val="00B54518"/>
    <w:rsid w:val="00B55178"/>
    <w:rsid w:val="00B56F3D"/>
    <w:rsid w:val="00B601EF"/>
    <w:rsid w:val="00B60A3C"/>
    <w:rsid w:val="00B62847"/>
    <w:rsid w:val="00B64B63"/>
    <w:rsid w:val="00B64D76"/>
    <w:rsid w:val="00B65A9C"/>
    <w:rsid w:val="00B66C42"/>
    <w:rsid w:val="00B7081D"/>
    <w:rsid w:val="00B70A5C"/>
    <w:rsid w:val="00B7446B"/>
    <w:rsid w:val="00B74592"/>
    <w:rsid w:val="00B757D8"/>
    <w:rsid w:val="00B759A2"/>
    <w:rsid w:val="00B76CEE"/>
    <w:rsid w:val="00B80115"/>
    <w:rsid w:val="00B817B6"/>
    <w:rsid w:val="00B83277"/>
    <w:rsid w:val="00B849C6"/>
    <w:rsid w:val="00B90EFB"/>
    <w:rsid w:val="00B93A91"/>
    <w:rsid w:val="00B9476C"/>
    <w:rsid w:val="00B96317"/>
    <w:rsid w:val="00B9677E"/>
    <w:rsid w:val="00BA12CB"/>
    <w:rsid w:val="00BA1373"/>
    <w:rsid w:val="00BA368E"/>
    <w:rsid w:val="00BA508D"/>
    <w:rsid w:val="00BA631A"/>
    <w:rsid w:val="00BA71FB"/>
    <w:rsid w:val="00BB1D2A"/>
    <w:rsid w:val="00BB30EA"/>
    <w:rsid w:val="00BB46F4"/>
    <w:rsid w:val="00BB4A18"/>
    <w:rsid w:val="00BB5300"/>
    <w:rsid w:val="00BB7204"/>
    <w:rsid w:val="00BB7C93"/>
    <w:rsid w:val="00BC14EB"/>
    <w:rsid w:val="00BC1A6E"/>
    <w:rsid w:val="00BC2F2F"/>
    <w:rsid w:val="00BC3BAA"/>
    <w:rsid w:val="00BC4375"/>
    <w:rsid w:val="00BC6D3C"/>
    <w:rsid w:val="00BD01EB"/>
    <w:rsid w:val="00BD0A5F"/>
    <w:rsid w:val="00BD0A99"/>
    <w:rsid w:val="00BD18AB"/>
    <w:rsid w:val="00BD1D75"/>
    <w:rsid w:val="00BD4680"/>
    <w:rsid w:val="00BD4D53"/>
    <w:rsid w:val="00BD6189"/>
    <w:rsid w:val="00BD6893"/>
    <w:rsid w:val="00BD6940"/>
    <w:rsid w:val="00BD7E93"/>
    <w:rsid w:val="00BE0B60"/>
    <w:rsid w:val="00BE0BB2"/>
    <w:rsid w:val="00BE0FF3"/>
    <w:rsid w:val="00BE17DA"/>
    <w:rsid w:val="00BE2355"/>
    <w:rsid w:val="00BE2FB3"/>
    <w:rsid w:val="00BF1143"/>
    <w:rsid w:val="00BF1B53"/>
    <w:rsid w:val="00BF5984"/>
    <w:rsid w:val="00BF7C8F"/>
    <w:rsid w:val="00C01A80"/>
    <w:rsid w:val="00C04979"/>
    <w:rsid w:val="00C07904"/>
    <w:rsid w:val="00C110C8"/>
    <w:rsid w:val="00C1182F"/>
    <w:rsid w:val="00C1399A"/>
    <w:rsid w:val="00C13A5F"/>
    <w:rsid w:val="00C153FC"/>
    <w:rsid w:val="00C167B6"/>
    <w:rsid w:val="00C20950"/>
    <w:rsid w:val="00C20BED"/>
    <w:rsid w:val="00C22D8D"/>
    <w:rsid w:val="00C23307"/>
    <w:rsid w:val="00C2390B"/>
    <w:rsid w:val="00C24BEC"/>
    <w:rsid w:val="00C33008"/>
    <w:rsid w:val="00C35FEF"/>
    <w:rsid w:val="00C3627B"/>
    <w:rsid w:val="00C4202E"/>
    <w:rsid w:val="00C44EAF"/>
    <w:rsid w:val="00C46624"/>
    <w:rsid w:val="00C50E5E"/>
    <w:rsid w:val="00C51976"/>
    <w:rsid w:val="00C521BD"/>
    <w:rsid w:val="00C54844"/>
    <w:rsid w:val="00C5558D"/>
    <w:rsid w:val="00C5660C"/>
    <w:rsid w:val="00C575D6"/>
    <w:rsid w:val="00C575F9"/>
    <w:rsid w:val="00C5786A"/>
    <w:rsid w:val="00C64726"/>
    <w:rsid w:val="00C64DEA"/>
    <w:rsid w:val="00C65849"/>
    <w:rsid w:val="00C6611B"/>
    <w:rsid w:val="00C66713"/>
    <w:rsid w:val="00C70C57"/>
    <w:rsid w:val="00C734C9"/>
    <w:rsid w:val="00C770DE"/>
    <w:rsid w:val="00C8004F"/>
    <w:rsid w:val="00C82BAF"/>
    <w:rsid w:val="00C8705D"/>
    <w:rsid w:val="00C87883"/>
    <w:rsid w:val="00C905E0"/>
    <w:rsid w:val="00C905E5"/>
    <w:rsid w:val="00C90B62"/>
    <w:rsid w:val="00C91A79"/>
    <w:rsid w:val="00C94A88"/>
    <w:rsid w:val="00C94A96"/>
    <w:rsid w:val="00C95BA4"/>
    <w:rsid w:val="00C9717B"/>
    <w:rsid w:val="00C97445"/>
    <w:rsid w:val="00CA0F6E"/>
    <w:rsid w:val="00CA1D2F"/>
    <w:rsid w:val="00CA2040"/>
    <w:rsid w:val="00CA2E61"/>
    <w:rsid w:val="00CA54D9"/>
    <w:rsid w:val="00CA6F2E"/>
    <w:rsid w:val="00CA7C1F"/>
    <w:rsid w:val="00CA7D53"/>
    <w:rsid w:val="00CB0D18"/>
    <w:rsid w:val="00CB5221"/>
    <w:rsid w:val="00CC03B2"/>
    <w:rsid w:val="00CC2888"/>
    <w:rsid w:val="00CC2CB6"/>
    <w:rsid w:val="00CC3465"/>
    <w:rsid w:val="00CC627F"/>
    <w:rsid w:val="00CC780C"/>
    <w:rsid w:val="00CD2178"/>
    <w:rsid w:val="00CD2841"/>
    <w:rsid w:val="00CD2BBB"/>
    <w:rsid w:val="00CD4350"/>
    <w:rsid w:val="00CD43DF"/>
    <w:rsid w:val="00CD47C0"/>
    <w:rsid w:val="00CD48B9"/>
    <w:rsid w:val="00CD59B6"/>
    <w:rsid w:val="00CD69B5"/>
    <w:rsid w:val="00CE11D4"/>
    <w:rsid w:val="00CE35B1"/>
    <w:rsid w:val="00CE64A3"/>
    <w:rsid w:val="00CE7865"/>
    <w:rsid w:val="00CE7A91"/>
    <w:rsid w:val="00CF6842"/>
    <w:rsid w:val="00CF7F51"/>
    <w:rsid w:val="00D00844"/>
    <w:rsid w:val="00D008F4"/>
    <w:rsid w:val="00D01D74"/>
    <w:rsid w:val="00D034D6"/>
    <w:rsid w:val="00D035A9"/>
    <w:rsid w:val="00D04145"/>
    <w:rsid w:val="00D07329"/>
    <w:rsid w:val="00D07826"/>
    <w:rsid w:val="00D10009"/>
    <w:rsid w:val="00D11143"/>
    <w:rsid w:val="00D12408"/>
    <w:rsid w:val="00D12502"/>
    <w:rsid w:val="00D14A0E"/>
    <w:rsid w:val="00D164A7"/>
    <w:rsid w:val="00D23268"/>
    <w:rsid w:val="00D239C0"/>
    <w:rsid w:val="00D2453E"/>
    <w:rsid w:val="00D25E20"/>
    <w:rsid w:val="00D25F68"/>
    <w:rsid w:val="00D27259"/>
    <w:rsid w:val="00D31F85"/>
    <w:rsid w:val="00D325A8"/>
    <w:rsid w:val="00D342D9"/>
    <w:rsid w:val="00D34EB2"/>
    <w:rsid w:val="00D35F77"/>
    <w:rsid w:val="00D37C9F"/>
    <w:rsid w:val="00D40481"/>
    <w:rsid w:val="00D4130A"/>
    <w:rsid w:val="00D45815"/>
    <w:rsid w:val="00D46807"/>
    <w:rsid w:val="00D51CD4"/>
    <w:rsid w:val="00D51F8D"/>
    <w:rsid w:val="00D52290"/>
    <w:rsid w:val="00D524B1"/>
    <w:rsid w:val="00D57963"/>
    <w:rsid w:val="00D62329"/>
    <w:rsid w:val="00D62AAA"/>
    <w:rsid w:val="00D62D52"/>
    <w:rsid w:val="00D64408"/>
    <w:rsid w:val="00D64BC5"/>
    <w:rsid w:val="00D657E1"/>
    <w:rsid w:val="00D66A64"/>
    <w:rsid w:val="00D66C70"/>
    <w:rsid w:val="00D702AE"/>
    <w:rsid w:val="00D70330"/>
    <w:rsid w:val="00D70895"/>
    <w:rsid w:val="00D73AFD"/>
    <w:rsid w:val="00D7507E"/>
    <w:rsid w:val="00D7699C"/>
    <w:rsid w:val="00D7705C"/>
    <w:rsid w:val="00D77419"/>
    <w:rsid w:val="00D81AA5"/>
    <w:rsid w:val="00D82029"/>
    <w:rsid w:val="00D83508"/>
    <w:rsid w:val="00D83DF2"/>
    <w:rsid w:val="00D847AF"/>
    <w:rsid w:val="00D85748"/>
    <w:rsid w:val="00D86922"/>
    <w:rsid w:val="00D90FB2"/>
    <w:rsid w:val="00D92943"/>
    <w:rsid w:val="00D947E0"/>
    <w:rsid w:val="00D96D8C"/>
    <w:rsid w:val="00D971C6"/>
    <w:rsid w:val="00DA0A65"/>
    <w:rsid w:val="00DA1274"/>
    <w:rsid w:val="00DA1F0D"/>
    <w:rsid w:val="00DA3FA0"/>
    <w:rsid w:val="00DA5763"/>
    <w:rsid w:val="00DA6EC8"/>
    <w:rsid w:val="00DB0FB3"/>
    <w:rsid w:val="00DB196C"/>
    <w:rsid w:val="00DB1D3D"/>
    <w:rsid w:val="00DB2A3E"/>
    <w:rsid w:val="00DB2ADE"/>
    <w:rsid w:val="00DB664B"/>
    <w:rsid w:val="00DB71D7"/>
    <w:rsid w:val="00DB7741"/>
    <w:rsid w:val="00DC03D6"/>
    <w:rsid w:val="00DC0DAD"/>
    <w:rsid w:val="00DC2023"/>
    <w:rsid w:val="00DD1DDE"/>
    <w:rsid w:val="00DD4008"/>
    <w:rsid w:val="00DD5A86"/>
    <w:rsid w:val="00DE6B4B"/>
    <w:rsid w:val="00DE6F82"/>
    <w:rsid w:val="00DF207F"/>
    <w:rsid w:val="00DF3675"/>
    <w:rsid w:val="00DF3946"/>
    <w:rsid w:val="00DF3B21"/>
    <w:rsid w:val="00DF4565"/>
    <w:rsid w:val="00DF4C06"/>
    <w:rsid w:val="00DF58F5"/>
    <w:rsid w:val="00E00A4C"/>
    <w:rsid w:val="00E00E7A"/>
    <w:rsid w:val="00E02126"/>
    <w:rsid w:val="00E02DAA"/>
    <w:rsid w:val="00E0301F"/>
    <w:rsid w:val="00E11DAC"/>
    <w:rsid w:val="00E12D69"/>
    <w:rsid w:val="00E158CE"/>
    <w:rsid w:val="00E15958"/>
    <w:rsid w:val="00E1621E"/>
    <w:rsid w:val="00E202D1"/>
    <w:rsid w:val="00E221D6"/>
    <w:rsid w:val="00E30249"/>
    <w:rsid w:val="00E303D0"/>
    <w:rsid w:val="00E30EAF"/>
    <w:rsid w:val="00E317A0"/>
    <w:rsid w:val="00E31934"/>
    <w:rsid w:val="00E323EB"/>
    <w:rsid w:val="00E342F9"/>
    <w:rsid w:val="00E37097"/>
    <w:rsid w:val="00E43811"/>
    <w:rsid w:val="00E46171"/>
    <w:rsid w:val="00E520D0"/>
    <w:rsid w:val="00E53937"/>
    <w:rsid w:val="00E542F6"/>
    <w:rsid w:val="00E548C8"/>
    <w:rsid w:val="00E54E73"/>
    <w:rsid w:val="00E5787D"/>
    <w:rsid w:val="00E57DF1"/>
    <w:rsid w:val="00E62AC5"/>
    <w:rsid w:val="00E630C1"/>
    <w:rsid w:val="00E637A9"/>
    <w:rsid w:val="00E64F6A"/>
    <w:rsid w:val="00E651F3"/>
    <w:rsid w:val="00E652DA"/>
    <w:rsid w:val="00E6530F"/>
    <w:rsid w:val="00E67FC0"/>
    <w:rsid w:val="00E71BB6"/>
    <w:rsid w:val="00E71DE8"/>
    <w:rsid w:val="00E74BB1"/>
    <w:rsid w:val="00E7682C"/>
    <w:rsid w:val="00E810BC"/>
    <w:rsid w:val="00E8148A"/>
    <w:rsid w:val="00E81BAA"/>
    <w:rsid w:val="00E836B0"/>
    <w:rsid w:val="00E864A5"/>
    <w:rsid w:val="00E86995"/>
    <w:rsid w:val="00E86F7C"/>
    <w:rsid w:val="00E879D8"/>
    <w:rsid w:val="00E901E6"/>
    <w:rsid w:val="00E90250"/>
    <w:rsid w:val="00E90B49"/>
    <w:rsid w:val="00E90ED3"/>
    <w:rsid w:val="00E90EF5"/>
    <w:rsid w:val="00E9115E"/>
    <w:rsid w:val="00E916FB"/>
    <w:rsid w:val="00E91ABA"/>
    <w:rsid w:val="00E938E0"/>
    <w:rsid w:val="00E9429C"/>
    <w:rsid w:val="00E973A6"/>
    <w:rsid w:val="00E97546"/>
    <w:rsid w:val="00EA0884"/>
    <w:rsid w:val="00EA39F2"/>
    <w:rsid w:val="00EA431D"/>
    <w:rsid w:val="00EA4EC0"/>
    <w:rsid w:val="00EA4F9F"/>
    <w:rsid w:val="00EA5889"/>
    <w:rsid w:val="00EA67E1"/>
    <w:rsid w:val="00EA74AB"/>
    <w:rsid w:val="00EA75F2"/>
    <w:rsid w:val="00EA7C50"/>
    <w:rsid w:val="00EB1E23"/>
    <w:rsid w:val="00EB3A35"/>
    <w:rsid w:val="00EB70E7"/>
    <w:rsid w:val="00EB75BA"/>
    <w:rsid w:val="00EB7758"/>
    <w:rsid w:val="00EC16C7"/>
    <w:rsid w:val="00EC1F20"/>
    <w:rsid w:val="00EC2095"/>
    <w:rsid w:val="00EC691C"/>
    <w:rsid w:val="00EC74BB"/>
    <w:rsid w:val="00EC7F5A"/>
    <w:rsid w:val="00ED0165"/>
    <w:rsid w:val="00ED0BB4"/>
    <w:rsid w:val="00ED0D4F"/>
    <w:rsid w:val="00ED1889"/>
    <w:rsid w:val="00ED3201"/>
    <w:rsid w:val="00ED3B21"/>
    <w:rsid w:val="00ED4745"/>
    <w:rsid w:val="00ED66FB"/>
    <w:rsid w:val="00ED6884"/>
    <w:rsid w:val="00ED7CAD"/>
    <w:rsid w:val="00EE26AC"/>
    <w:rsid w:val="00EE3279"/>
    <w:rsid w:val="00EE4B29"/>
    <w:rsid w:val="00EE647E"/>
    <w:rsid w:val="00EF1554"/>
    <w:rsid w:val="00EF1CC9"/>
    <w:rsid w:val="00EF2625"/>
    <w:rsid w:val="00EF3D19"/>
    <w:rsid w:val="00EF56AA"/>
    <w:rsid w:val="00EF7C0F"/>
    <w:rsid w:val="00EF7E2D"/>
    <w:rsid w:val="00EF7FE1"/>
    <w:rsid w:val="00F00253"/>
    <w:rsid w:val="00F02553"/>
    <w:rsid w:val="00F0396C"/>
    <w:rsid w:val="00F05473"/>
    <w:rsid w:val="00F10443"/>
    <w:rsid w:val="00F107E4"/>
    <w:rsid w:val="00F12422"/>
    <w:rsid w:val="00F14E50"/>
    <w:rsid w:val="00F20B99"/>
    <w:rsid w:val="00F21091"/>
    <w:rsid w:val="00F21614"/>
    <w:rsid w:val="00F238A9"/>
    <w:rsid w:val="00F23DFB"/>
    <w:rsid w:val="00F251FF"/>
    <w:rsid w:val="00F2730F"/>
    <w:rsid w:val="00F3173F"/>
    <w:rsid w:val="00F333E0"/>
    <w:rsid w:val="00F3442C"/>
    <w:rsid w:val="00F3446F"/>
    <w:rsid w:val="00F3497C"/>
    <w:rsid w:val="00F40EDB"/>
    <w:rsid w:val="00F412D2"/>
    <w:rsid w:val="00F41EF9"/>
    <w:rsid w:val="00F426AC"/>
    <w:rsid w:val="00F42B0A"/>
    <w:rsid w:val="00F43AC4"/>
    <w:rsid w:val="00F46A9C"/>
    <w:rsid w:val="00F4771C"/>
    <w:rsid w:val="00F51998"/>
    <w:rsid w:val="00F55CAD"/>
    <w:rsid w:val="00F63A49"/>
    <w:rsid w:val="00F64EEC"/>
    <w:rsid w:val="00F6510D"/>
    <w:rsid w:val="00F65FE2"/>
    <w:rsid w:val="00F675F7"/>
    <w:rsid w:val="00F71936"/>
    <w:rsid w:val="00F71FA5"/>
    <w:rsid w:val="00F7493E"/>
    <w:rsid w:val="00F7508E"/>
    <w:rsid w:val="00F76243"/>
    <w:rsid w:val="00F762BA"/>
    <w:rsid w:val="00F8013A"/>
    <w:rsid w:val="00F8052B"/>
    <w:rsid w:val="00F81EF0"/>
    <w:rsid w:val="00F828AC"/>
    <w:rsid w:val="00F841C6"/>
    <w:rsid w:val="00F90614"/>
    <w:rsid w:val="00F907D2"/>
    <w:rsid w:val="00F92631"/>
    <w:rsid w:val="00F93914"/>
    <w:rsid w:val="00F939FB"/>
    <w:rsid w:val="00F93BE4"/>
    <w:rsid w:val="00F93ECC"/>
    <w:rsid w:val="00F93EE4"/>
    <w:rsid w:val="00F941B4"/>
    <w:rsid w:val="00F94D2B"/>
    <w:rsid w:val="00F96F0A"/>
    <w:rsid w:val="00F97B58"/>
    <w:rsid w:val="00FA0F27"/>
    <w:rsid w:val="00FA157C"/>
    <w:rsid w:val="00FA381E"/>
    <w:rsid w:val="00FA50E1"/>
    <w:rsid w:val="00FA5370"/>
    <w:rsid w:val="00FA7E3A"/>
    <w:rsid w:val="00FB0701"/>
    <w:rsid w:val="00FB0A31"/>
    <w:rsid w:val="00FB1C7B"/>
    <w:rsid w:val="00FB21A8"/>
    <w:rsid w:val="00FB2B57"/>
    <w:rsid w:val="00FB35DD"/>
    <w:rsid w:val="00FC06F7"/>
    <w:rsid w:val="00FC2E2C"/>
    <w:rsid w:val="00FC3B23"/>
    <w:rsid w:val="00FC79CE"/>
    <w:rsid w:val="00FD3BD2"/>
    <w:rsid w:val="00FD4A10"/>
    <w:rsid w:val="00FE32FD"/>
    <w:rsid w:val="00FE45D0"/>
    <w:rsid w:val="00FE488D"/>
    <w:rsid w:val="00FE4DA8"/>
    <w:rsid w:val="00FE5DFF"/>
    <w:rsid w:val="00FE625B"/>
    <w:rsid w:val="00FE7617"/>
    <w:rsid w:val="00FF0F7B"/>
    <w:rsid w:val="00FF1A62"/>
    <w:rsid w:val="00FF256E"/>
    <w:rsid w:val="00FF2C9B"/>
    <w:rsid w:val="00FF32B0"/>
    <w:rsid w:val="00FF331B"/>
    <w:rsid w:val="00FF3B00"/>
    <w:rsid w:val="00FF4219"/>
    <w:rsid w:val="00FF76CB"/>
    <w:rsid w:val="00FF7732"/>
    <w:rsid w:val="00FF7ED4"/>
    <w:rsid w:val="31DE27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99" w:name=""/>
    <w:lsdException w:qFormat="1" w:unhideWhenUsed="0" w:uiPriority="0" w:semiHidden="0" w:name="List Paragraph"/>
    <w:lsdException w:qFormat="1" w:unhideWhenUsed="0" w:uiPriority="0" w:semiHidden="0" w:name="Quote"/>
    <w:lsdException w:qFormat="1" w:unhideWhenUsed="0" w:uiPriority="0" w:semiHidden="0" w:name="Intense Quote"/>
  </w:latentStyles>
  <w:style w:type="paragraph" w:default="1" w:styleId="1">
    <w:name w:val="Normal"/>
    <w:qFormat/>
    <w:uiPriority w:val="0"/>
    <w:pPr>
      <w:autoSpaceDE w:val="0"/>
      <w:autoSpaceDN w:val="0"/>
    </w:pPr>
    <w:rPr>
      <w:sz w:val="24"/>
      <w:szCs w:val="24"/>
      <w:lang w:val="ru-RU" w:eastAsia="ru-RU" w:bidi="ar-SA"/>
    </w:rPr>
  </w:style>
  <w:style w:type="paragraph" w:styleId="2">
    <w:name w:val="heading 1"/>
    <w:basedOn w:val="1"/>
    <w:next w:val="1"/>
    <w:link w:val="26"/>
    <w:qFormat/>
    <w:uiPriority w:val="0"/>
    <w:pPr>
      <w:widowControl w:val="0"/>
      <w:adjustRightInd w:val="0"/>
      <w:spacing w:before="108" w:after="108"/>
      <w:jc w:val="center"/>
      <w:outlineLvl w:val="0"/>
    </w:pPr>
    <w:rPr>
      <w:rFonts w:ascii="Arial" w:hAnsi="Arial" w:cs="Arial"/>
      <w:b/>
      <w:bCs/>
      <w:color w:val="000080"/>
    </w:rPr>
  </w:style>
  <w:style w:type="paragraph" w:styleId="3">
    <w:name w:val="heading 2"/>
    <w:basedOn w:val="1"/>
    <w:next w:val="1"/>
    <w:link w:val="27"/>
    <w:qFormat/>
    <w:uiPriority w:val="0"/>
    <w:pPr>
      <w:keepNext/>
      <w:autoSpaceDE/>
      <w:autoSpaceDN/>
      <w:spacing w:before="240" w:after="60"/>
      <w:outlineLvl w:val="1"/>
    </w:pPr>
    <w:rPr>
      <w:rFonts w:ascii="Cambria" w:hAnsi="Cambria"/>
      <w:b/>
      <w:bCs/>
      <w:i/>
      <w:iCs/>
      <w:sz w:val="28"/>
      <w:szCs w:val="28"/>
    </w:rPr>
  </w:style>
  <w:style w:type="paragraph" w:styleId="4">
    <w:name w:val="heading 3"/>
    <w:basedOn w:val="1"/>
    <w:next w:val="1"/>
    <w:link w:val="28"/>
    <w:qFormat/>
    <w:uiPriority w:val="0"/>
    <w:pPr>
      <w:keepNext/>
      <w:keepLines/>
      <w:autoSpaceDE/>
      <w:autoSpaceDN/>
      <w:spacing w:before="200" w:line="276" w:lineRule="auto"/>
      <w:outlineLvl w:val="2"/>
    </w:pPr>
    <w:rPr>
      <w:rFonts w:ascii="Cambria" w:hAnsi="Cambria" w:eastAsia="Calibri"/>
      <w:b/>
      <w:bCs/>
      <w:color w:val="4F81BD"/>
      <w:sz w:val="22"/>
      <w:szCs w:val="22"/>
      <w:lang w:eastAsia="en-US"/>
    </w:rPr>
  </w:style>
  <w:style w:type="paragraph" w:styleId="5">
    <w:name w:val="heading 4"/>
    <w:basedOn w:val="1"/>
    <w:next w:val="1"/>
    <w:link w:val="29"/>
    <w:qFormat/>
    <w:uiPriority w:val="0"/>
    <w:pPr>
      <w:keepNext/>
      <w:overflowPunct w:val="0"/>
      <w:adjustRightInd w:val="0"/>
      <w:spacing w:before="240" w:after="60"/>
      <w:textAlignment w:val="baseline"/>
      <w:outlineLvl w:val="3"/>
    </w:pPr>
    <w:rPr>
      <w:b/>
      <w:bCs/>
      <w:kern w:val="32"/>
      <w:sz w:val="28"/>
      <w:szCs w:val="28"/>
    </w:rPr>
  </w:style>
  <w:style w:type="paragraph" w:styleId="6">
    <w:name w:val="heading 5"/>
    <w:basedOn w:val="1"/>
    <w:next w:val="1"/>
    <w:link w:val="30"/>
    <w:qFormat/>
    <w:uiPriority w:val="0"/>
    <w:pPr>
      <w:autoSpaceDE/>
      <w:autoSpaceDN/>
      <w:spacing w:before="240" w:after="60"/>
      <w:outlineLvl w:val="4"/>
    </w:pPr>
    <w:rPr>
      <w:b/>
      <w:bCs/>
      <w:i/>
      <w:iCs/>
      <w:sz w:val="26"/>
      <w:szCs w:val="26"/>
    </w:rPr>
  </w:style>
  <w:style w:type="paragraph" w:styleId="7">
    <w:name w:val="heading 6"/>
    <w:basedOn w:val="1"/>
    <w:next w:val="1"/>
    <w:link w:val="31"/>
    <w:qFormat/>
    <w:uiPriority w:val="0"/>
    <w:pPr>
      <w:autoSpaceDE/>
      <w:autoSpaceDN/>
      <w:spacing w:before="240" w:after="60" w:line="276" w:lineRule="auto"/>
      <w:outlineLvl w:val="5"/>
    </w:pPr>
    <w:rPr>
      <w:rFonts w:ascii="Calibri" w:hAnsi="Calibri"/>
      <w:b/>
      <w:bCs/>
      <w:sz w:val="22"/>
      <w:szCs w:val="22"/>
      <w:lang w:eastAsia="en-US"/>
    </w:rPr>
  </w:style>
  <w:style w:type="paragraph" w:styleId="8">
    <w:name w:val="heading 7"/>
    <w:basedOn w:val="1"/>
    <w:next w:val="1"/>
    <w:link w:val="32"/>
    <w:qFormat/>
    <w:uiPriority w:val="0"/>
    <w:pPr>
      <w:autoSpaceDE/>
      <w:autoSpaceDN/>
      <w:spacing w:before="240" w:after="60" w:line="276" w:lineRule="auto"/>
      <w:outlineLvl w:val="6"/>
    </w:pPr>
    <w:rPr>
      <w:rFonts w:ascii="Calibri" w:hAnsi="Calibri"/>
      <w:lang w:eastAsia="en-US"/>
    </w:rPr>
  </w:style>
  <w:style w:type="paragraph" w:styleId="9">
    <w:name w:val="heading 8"/>
    <w:basedOn w:val="1"/>
    <w:next w:val="1"/>
    <w:link w:val="33"/>
    <w:qFormat/>
    <w:uiPriority w:val="0"/>
    <w:pPr>
      <w:autoSpaceDE/>
      <w:autoSpaceDN/>
      <w:spacing w:before="240" w:after="60" w:line="276" w:lineRule="auto"/>
      <w:outlineLvl w:val="7"/>
    </w:pPr>
    <w:rPr>
      <w:rFonts w:ascii="Calibri" w:hAnsi="Calibri"/>
      <w:i/>
      <w:iCs/>
      <w:lang w:eastAsia="en-US"/>
    </w:rPr>
  </w:style>
  <w:style w:type="paragraph" w:styleId="10">
    <w:name w:val="heading 9"/>
    <w:basedOn w:val="1"/>
    <w:next w:val="1"/>
    <w:link w:val="34"/>
    <w:qFormat/>
    <w:uiPriority w:val="0"/>
    <w:pPr>
      <w:autoSpaceDE/>
      <w:autoSpaceDN/>
      <w:spacing w:before="240" w:after="60" w:line="276" w:lineRule="auto"/>
      <w:outlineLvl w:val="8"/>
    </w:pPr>
    <w:rPr>
      <w:rFonts w:ascii="Cambria" w:hAnsi="Cambria"/>
      <w:sz w:val="22"/>
      <w:szCs w:val="22"/>
      <w:lang w:eastAsia="en-US"/>
    </w:rPr>
  </w:style>
  <w:style w:type="character" w:default="1" w:styleId="11">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trPr>
      <w:wBefore w:w="0" w:type="dxa"/>
    </w:trPr>
  </w:style>
  <w:style w:type="character" w:styleId="13">
    <w:name w:val="FollowedHyperlink"/>
    <w:unhideWhenUsed/>
    <w:uiPriority w:val="99"/>
    <w:rPr>
      <w:color w:val="800080"/>
      <w:u w:val="single"/>
    </w:rPr>
  </w:style>
  <w:style w:type="character" w:styleId="14">
    <w:name w:val="Hyperlink"/>
    <w:unhideWhenUsed/>
    <w:uiPriority w:val="99"/>
    <w:rPr>
      <w:color w:val="0000FF"/>
      <w:u w:val="single"/>
    </w:rPr>
  </w:style>
  <w:style w:type="character" w:styleId="15">
    <w:name w:val="page number"/>
    <w:basedOn w:val="11"/>
    <w:uiPriority w:val="0"/>
  </w:style>
  <w:style w:type="character" w:styleId="16">
    <w:name w:val="Strong"/>
    <w:qFormat/>
    <w:uiPriority w:val="22"/>
    <w:rPr>
      <w:b/>
      <w:bCs/>
    </w:rPr>
  </w:style>
  <w:style w:type="paragraph" w:styleId="17">
    <w:name w:val="Balloon Text"/>
    <w:basedOn w:val="1"/>
    <w:link w:val="36"/>
    <w:semiHidden/>
    <w:uiPriority w:val="0"/>
    <w:rPr>
      <w:rFonts w:ascii="Tahoma" w:hAnsi="Tahoma" w:cs="Tahoma"/>
      <w:sz w:val="16"/>
      <w:szCs w:val="16"/>
    </w:rPr>
  </w:style>
  <w:style w:type="paragraph" w:styleId="18">
    <w:name w:val="header"/>
    <w:basedOn w:val="1"/>
    <w:link w:val="37"/>
    <w:uiPriority w:val="99"/>
    <w:pPr>
      <w:tabs>
        <w:tab w:val="center" w:pos="4677"/>
        <w:tab w:val="right" w:pos="9355"/>
      </w:tabs>
    </w:pPr>
  </w:style>
  <w:style w:type="paragraph" w:styleId="19">
    <w:name w:val="Body Text"/>
    <w:basedOn w:val="1"/>
    <w:link w:val="43"/>
    <w:uiPriority w:val="0"/>
    <w:pPr>
      <w:autoSpaceDE/>
      <w:autoSpaceDN/>
      <w:jc w:val="both"/>
    </w:pPr>
    <w:rPr>
      <w:sz w:val="28"/>
      <w:szCs w:val="28"/>
    </w:rPr>
  </w:style>
  <w:style w:type="paragraph" w:styleId="20">
    <w:name w:val="Body Text Indent"/>
    <w:basedOn w:val="1"/>
    <w:uiPriority w:val="0"/>
    <w:pPr>
      <w:jc w:val="both"/>
    </w:pPr>
    <w:rPr>
      <w:sz w:val="28"/>
      <w:szCs w:val="28"/>
    </w:rPr>
  </w:style>
  <w:style w:type="paragraph" w:styleId="21">
    <w:name w:val="Title"/>
    <w:basedOn w:val="1"/>
    <w:next w:val="1"/>
    <w:link w:val="44"/>
    <w:uiPriority w:val="99"/>
    <w:pPr>
      <w:widowControl w:val="0"/>
      <w:autoSpaceDE w:val="0"/>
      <w:autoSpaceDN w:val="0"/>
      <w:adjustRightInd w:val="0"/>
    </w:pPr>
    <w:rPr>
      <w:b/>
      <w:bCs/>
      <w:color w:val="000000"/>
      <w:sz w:val="24"/>
      <w:szCs w:val="24"/>
      <w:lang w:val="ru-RU" w:eastAsia="ru-RU" w:bidi="ar-SA"/>
    </w:rPr>
  </w:style>
  <w:style w:type="paragraph" w:styleId="22">
    <w:name w:val="footer"/>
    <w:basedOn w:val="1"/>
    <w:link w:val="38"/>
    <w:uiPriority w:val="99"/>
    <w:pPr>
      <w:tabs>
        <w:tab w:val="center" w:pos="4677"/>
        <w:tab w:val="right" w:pos="9355"/>
      </w:tabs>
    </w:pPr>
  </w:style>
  <w:style w:type="paragraph" w:styleId="23">
    <w:name w:val="Normal (Web)"/>
    <w:basedOn w:val="1"/>
    <w:unhideWhenUsed/>
    <w:uiPriority w:val="0"/>
    <w:pPr>
      <w:autoSpaceDE/>
      <w:autoSpaceDN/>
      <w:spacing w:before="100" w:beforeAutospacing="1" w:after="100" w:afterAutospacing="1"/>
    </w:pPr>
  </w:style>
  <w:style w:type="paragraph" w:styleId="24">
    <w:name w:val="Subtitle"/>
    <w:basedOn w:val="1"/>
    <w:next w:val="1"/>
    <w:link w:val="45"/>
    <w:qFormat/>
    <w:uiPriority w:val="0"/>
    <w:pPr>
      <w:autoSpaceDE/>
      <w:autoSpaceDN/>
      <w:spacing w:after="60" w:line="276" w:lineRule="auto"/>
      <w:jc w:val="center"/>
      <w:outlineLvl w:val="1"/>
    </w:pPr>
    <w:rPr>
      <w:rFonts w:ascii="Cambria" w:hAnsi="Cambria"/>
      <w:lang w:eastAsia="en-US"/>
    </w:rPr>
  </w:style>
  <w:style w:type="table" w:styleId="25">
    <w:name w:val="Table Grid"/>
    <w:basedOn w:val="12"/>
    <w:uiPriority w:val="0"/>
    <w:pPr>
      <w:widowControl w:val="0"/>
      <w:autoSpaceDE w:val="0"/>
      <w:autoSpaceDN w:val="0"/>
      <w:adjustRightInd w:val="0"/>
      <w:ind w:firstLine="720"/>
      <w:jc w:val="both"/>
    </w:pPr>
    <w:rPr>
      <w:rFonts w:ascii="Arial" w:hAnsi="Arial" w:cs="Arial"/>
      <w:lang w:bidi="ar-SA"/>
    </w:r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Заголовок 1 Знак"/>
    <w:link w:val="2"/>
    <w:uiPriority w:val="0"/>
    <w:rPr>
      <w:rFonts w:ascii="Arial" w:hAnsi="Arial" w:cs="Arial"/>
      <w:b/>
      <w:bCs/>
      <w:color w:val="000080"/>
      <w:sz w:val="24"/>
      <w:szCs w:val="24"/>
      <w:lang w:val="ru-RU" w:eastAsia="ru-RU" w:bidi="ar-SA"/>
    </w:rPr>
  </w:style>
  <w:style w:type="character" w:customStyle="1" w:styleId="27">
    <w:name w:val="Заголовок 2 Знак"/>
    <w:link w:val="3"/>
    <w:uiPriority w:val="0"/>
    <w:rPr>
      <w:rFonts w:ascii="Cambria" w:hAnsi="Cambria"/>
      <w:b/>
      <w:bCs/>
      <w:i/>
      <w:iCs/>
      <w:sz w:val="28"/>
      <w:szCs w:val="28"/>
      <w:lang w:val="ru-RU" w:eastAsia="ru-RU" w:bidi="ar-SA"/>
    </w:rPr>
  </w:style>
  <w:style w:type="character" w:customStyle="1" w:styleId="28">
    <w:name w:val="Заголовок 3 Знак"/>
    <w:link w:val="4"/>
    <w:uiPriority w:val="0"/>
    <w:rPr>
      <w:rFonts w:ascii="Cambria" w:hAnsi="Cambria" w:eastAsia="Calibri"/>
      <w:b/>
      <w:bCs/>
      <w:color w:val="4F81BD"/>
      <w:sz w:val="22"/>
      <w:szCs w:val="22"/>
      <w:lang w:val="ru-RU" w:eastAsia="en-US" w:bidi="ar-SA"/>
    </w:rPr>
  </w:style>
  <w:style w:type="character" w:customStyle="1" w:styleId="29">
    <w:name w:val="Заголовок 4 Знак"/>
    <w:link w:val="5"/>
    <w:locked/>
    <w:uiPriority w:val="0"/>
    <w:rPr>
      <w:b/>
      <w:bCs/>
      <w:kern w:val="32"/>
      <w:sz w:val="28"/>
      <w:szCs w:val="28"/>
      <w:lang w:val="ru-RU" w:eastAsia="ru-RU" w:bidi="ar-SA"/>
    </w:rPr>
  </w:style>
  <w:style w:type="character" w:customStyle="1" w:styleId="30">
    <w:name w:val="Заголовок 5 Знак"/>
    <w:link w:val="6"/>
    <w:uiPriority w:val="0"/>
    <w:rPr>
      <w:b/>
      <w:bCs/>
      <w:i/>
      <w:iCs/>
      <w:sz w:val="26"/>
      <w:szCs w:val="26"/>
      <w:lang w:val="ru-RU" w:eastAsia="ru-RU" w:bidi="ar-SA"/>
    </w:rPr>
  </w:style>
  <w:style w:type="character" w:customStyle="1" w:styleId="31">
    <w:name w:val="Заголовок 6 Знак"/>
    <w:link w:val="7"/>
    <w:uiPriority w:val="0"/>
    <w:rPr>
      <w:rFonts w:ascii="Calibri" w:hAnsi="Calibri"/>
      <w:b/>
      <w:bCs/>
      <w:sz w:val="22"/>
      <w:szCs w:val="22"/>
      <w:lang w:val="ru-RU" w:eastAsia="en-US" w:bidi="ar-SA"/>
    </w:rPr>
  </w:style>
  <w:style w:type="character" w:customStyle="1" w:styleId="32">
    <w:name w:val="Заголовок 7 Знак"/>
    <w:link w:val="8"/>
    <w:uiPriority w:val="0"/>
    <w:rPr>
      <w:rFonts w:ascii="Calibri" w:hAnsi="Calibri"/>
      <w:sz w:val="24"/>
      <w:szCs w:val="24"/>
      <w:lang w:val="ru-RU" w:eastAsia="en-US" w:bidi="ar-SA"/>
    </w:rPr>
  </w:style>
  <w:style w:type="character" w:customStyle="1" w:styleId="33">
    <w:name w:val="Заголовок 8 Знак"/>
    <w:link w:val="9"/>
    <w:uiPriority w:val="0"/>
    <w:rPr>
      <w:rFonts w:ascii="Calibri" w:hAnsi="Calibri"/>
      <w:i/>
      <w:iCs/>
      <w:sz w:val="24"/>
      <w:szCs w:val="24"/>
      <w:lang w:val="ru-RU" w:eastAsia="en-US" w:bidi="ar-SA"/>
    </w:rPr>
  </w:style>
  <w:style w:type="character" w:customStyle="1" w:styleId="34">
    <w:name w:val="Заголовок 9 Знак"/>
    <w:link w:val="10"/>
    <w:uiPriority w:val="0"/>
    <w:rPr>
      <w:rFonts w:ascii="Cambria" w:hAnsi="Cambria"/>
      <w:sz w:val="22"/>
      <w:szCs w:val="22"/>
      <w:lang w:val="ru-RU" w:eastAsia="en-US" w:bidi="ar-SA"/>
    </w:rPr>
  </w:style>
  <w:style w:type="paragraph" w:customStyle="1" w:styleId="35">
    <w:name w:val="Таблицы (моноширинный)"/>
    <w:basedOn w:val="1"/>
    <w:next w:val="1"/>
    <w:uiPriority w:val="0"/>
    <w:pPr>
      <w:widowControl w:val="0"/>
      <w:adjustRightInd w:val="0"/>
      <w:jc w:val="both"/>
    </w:pPr>
    <w:rPr>
      <w:rFonts w:ascii="Courier New" w:hAnsi="Courier New" w:cs="Courier New"/>
    </w:rPr>
  </w:style>
  <w:style w:type="character" w:customStyle="1" w:styleId="36">
    <w:name w:val="Текст выноски Знак"/>
    <w:link w:val="17"/>
    <w:uiPriority w:val="0"/>
    <w:rPr>
      <w:rFonts w:ascii="Tahoma" w:hAnsi="Tahoma" w:cs="Tahoma"/>
      <w:sz w:val="16"/>
      <w:szCs w:val="16"/>
      <w:lang w:val="ru-RU" w:eastAsia="ru-RU" w:bidi="ar-SA"/>
    </w:rPr>
  </w:style>
  <w:style w:type="character" w:customStyle="1" w:styleId="37">
    <w:name w:val="Верхний колонтитул Знак"/>
    <w:link w:val="18"/>
    <w:uiPriority w:val="99"/>
    <w:rPr>
      <w:sz w:val="24"/>
      <w:szCs w:val="24"/>
      <w:lang w:val="ru-RU" w:eastAsia="ru-RU" w:bidi="ar-SA"/>
    </w:rPr>
  </w:style>
  <w:style w:type="character" w:customStyle="1" w:styleId="38">
    <w:name w:val="Нижний колонтитул Знак"/>
    <w:link w:val="22"/>
    <w:uiPriority w:val="99"/>
    <w:rPr>
      <w:sz w:val="24"/>
      <w:szCs w:val="24"/>
      <w:lang w:val="ru-RU" w:eastAsia="ru-RU" w:bidi="ar-SA"/>
    </w:rPr>
  </w:style>
  <w:style w:type="paragraph" w:customStyle="1" w:styleId="39">
    <w:name w:val="Heading"/>
    <w:uiPriority w:val="0"/>
    <w:pPr>
      <w:autoSpaceDE w:val="0"/>
      <w:autoSpaceDN w:val="0"/>
      <w:adjustRightInd w:val="0"/>
    </w:pPr>
    <w:rPr>
      <w:rFonts w:ascii="Arial" w:hAnsi="Arial" w:cs="Arial"/>
      <w:sz w:val="28"/>
      <w:szCs w:val="28"/>
      <w:lang w:val="ru-RU" w:eastAsia="ru-RU" w:bidi="ar-SA"/>
    </w:rPr>
  </w:style>
  <w:style w:type="paragraph" w:customStyle="1" w:styleId="40">
    <w:name w:val="ConsPlusNormal"/>
    <w:uiPriority w:val="0"/>
    <w:pPr>
      <w:autoSpaceDE w:val="0"/>
      <w:autoSpaceDN w:val="0"/>
      <w:adjustRightInd w:val="0"/>
      <w:ind w:firstLine="720"/>
    </w:pPr>
    <w:rPr>
      <w:rFonts w:ascii="Arial" w:hAnsi="Arial" w:cs="Arial"/>
      <w:lang w:val="ru-RU" w:eastAsia="ru-RU" w:bidi="ar-SA"/>
    </w:rPr>
  </w:style>
  <w:style w:type="paragraph" w:customStyle="1" w:styleId="41">
    <w:name w:val="ConsNormal"/>
    <w:qFormat/>
    <w:uiPriority w:val="99"/>
    <w:pPr>
      <w:autoSpaceDE w:val="0"/>
      <w:autoSpaceDN w:val="0"/>
      <w:ind w:firstLine="720"/>
    </w:pPr>
    <w:rPr>
      <w:rFonts w:ascii="Arial" w:hAnsi="Arial" w:cs="Arial"/>
      <w:lang w:val="ru-RU" w:eastAsia="ru-RU" w:bidi="ar-SA"/>
    </w:rPr>
  </w:style>
  <w:style w:type="paragraph" w:customStyle="1" w:styleId="42">
    <w:name w:val="Times12"/>
    <w:basedOn w:val="1"/>
    <w:uiPriority w:val="0"/>
    <w:pPr>
      <w:ind w:firstLine="709"/>
      <w:jc w:val="both"/>
    </w:pPr>
  </w:style>
  <w:style w:type="character" w:customStyle="1" w:styleId="43">
    <w:name w:val="Основной текст Знак"/>
    <w:link w:val="19"/>
    <w:uiPriority w:val="0"/>
    <w:rPr>
      <w:sz w:val="28"/>
      <w:szCs w:val="28"/>
      <w:lang w:val="ru-RU" w:eastAsia="ru-RU" w:bidi="ar-SA"/>
    </w:rPr>
  </w:style>
  <w:style w:type="character" w:customStyle="1" w:styleId="44">
    <w:name w:val="Название Знак"/>
    <w:link w:val="21"/>
    <w:uiPriority w:val="0"/>
    <w:rPr>
      <w:rFonts w:ascii="Cambria" w:hAnsi="Cambria"/>
      <w:b/>
      <w:bCs/>
      <w:kern w:val="28"/>
      <w:sz w:val="32"/>
      <w:szCs w:val="32"/>
      <w:lang w:eastAsia="en-US" w:bidi="ar-SA"/>
    </w:rPr>
  </w:style>
  <w:style w:type="character" w:customStyle="1" w:styleId="45">
    <w:name w:val="Подзаголовок Знак"/>
    <w:link w:val="24"/>
    <w:uiPriority w:val="0"/>
    <w:rPr>
      <w:rFonts w:ascii="Cambria" w:hAnsi="Cambria"/>
      <w:sz w:val="24"/>
      <w:szCs w:val="24"/>
      <w:lang w:eastAsia="en-US" w:bidi="ar-SA"/>
    </w:rPr>
  </w:style>
  <w:style w:type="paragraph" w:styleId="46">
    <w:name w:val="No Spacing"/>
    <w:basedOn w:val="1"/>
    <w:link w:val="47"/>
    <w:qFormat/>
    <w:uiPriority w:val="0"/>
    <w:pPr>
      <w:autoSpaceDE/>
      <w:autoSpaceDN/>
    </w:pPr>
    <w:rPr>
      <w:rFonts w:ascii="Calibri" w:hAnsi="Calibri" w:eastAsia="Calibri"/>
      <w:sz w:val="22"/>
      <w:szCs w:val="22"/>
      <w:lang w:eastAsia="en-US"/>
    </w:rPr>
  </w:style>
  <w:style w:type="character" w:customStyle="1" w:styleId="47">
    <w:name w:val="Без интервала Знак"/>
    <w:link w:val="46"/>
    <w:uiPriority w:val="0"/>
    <w:rPr>
      <w:rFonts w:ascii="Calibri" w:hAnsi="Calibri" w:eastAsia="Calibri"/>
      <w:sz w:val="22"/>
      <w:szCs w:val="22"/>
      <w:lang w:val="ru-RU" w:eastAsia="en-US" w:bidi="ar-SA"/>
    </w:rPr>
  </w:style>
  <w:style w:type="character" w:customStyle="1" w:styleId="48">
    <w:name w:val="Цитата 2 Знак"/>
    <w:link w:val="49"/>
    <w:uiPriority w:val="0"/>
    <w:rPr>
      <w:rFonts w:ascii="Calibri" w:hAnsi="Calibri" w:eastAsia="Calibri"/>
      <w:i/>
      <w:iCs/>
      <w:color w:val="000000"/>
      <w:sz w:val="22"/>
      <w:szCs w:val="22"/>
      <w:lang w:eastAsia="en-US" w:bidi="ar-SA"/>
    </w:rPr>
  </w:style>
  <w:style w:type="paragraph" w:styleId="49">
    <w:name w:val="Quote"/>
    <w:basedOn w:val="1"/>
    <w:next w:val="1"/>
    <w:link w:val="48"/>
    <w:qFormat/>
    <w:uiPriority w:val="0"/>
    <w:pPr>
      <w:autoSpaceDE/>
      <w:autoSpaceDN/>
      <w:spacing w:after="200" w:line="276" w:lineRule="auto"/>
    </w:pPr>
    <w:rPr>
      <w:rFonts w:ascii="Calibri" w:hAnsi="Calibri" w:eastAsia="Calibri"/>
      <w:i/>
      <w:iCs/>
      <w:color w:val="000000"/>
      <w:sz w:val="22"/>
      <w:szCs w:val="22"/>
      <w:lang w:eastAsia="en-US"/>
    </w:rPr>
  </w:style>
  <w:style w:type="character" w:customStyle="1" w:styleId="50">
    <w:name w:val="Выделенная цитата Знак"/>
    <w:link w:val="51"/>
    <w:uiPriority w:val="0"/>
    <w:rPr>
      <w:rFonts w:ascii="Calibri" w:hAnsi="Calibri" w:eastAsia="Calibri"/>
      <w:b/>
      <w:bCs/>
      <w:i/>
      <w:iCs/>
      <w:color w:val="4F81BD"/>
      <w:sz w:val="22"/>
      <w:szCs w:val="22"/>
      <w:lang w:eastAsia="en-US" w:bidi="ar-SA"/>
    </w:rPr>
  </w:style>
  <w:style w:type="paragraph" w:styleId="51">
    <w:name w:val="Intense Quote"/>
    <w:basedOn w:val="1"/>
    <w:next w:val="1"/>
    <w:link w:val="50"/>
    <w:qFormat/>
    <w:uiPriority w:val="0"/>
    <w:pPr>
      <w:pBdr>
        <w:bottom w:val="single" w:color="4F81BD" w:sz="4" w:space="4"/>
      </w:pBdr>
      <w:autoSpaceDE/>
      <w:autoSpaceDN/>
      <w:spacing w:before="200" w:after="280" w:line="276" w:lineRule="auto"/>
      <w:ind w:left="936" w:right="936"/>
    </w:pPr>
    <w:rPr>
      <w:rFonts w:ascii="Calibri" w:hAnsi="Calibri" w:eastAsia="Calibri"/>
      <w:b/>
      <w:bCs/>
      <w:i/>
      <w:iCs/>
      <w:color w:val="4F81BD"/>
      <w:sz w:val="22"/>
      <w:szCs w:val="22"/>
      <w:lang w:eastAsia="en-US"/>
    </w:rPr>
  </w:style>
  <w:style w:type="paragraph" w:customStyle="1" w:styleId="52">
    <w:name w:val="ConsPlusTitle"/>
    <w:uiPriority w:val="99"/>
    <w:pPr>
      <w:widowControl w:val="0"/>
      <w:autoSpaceDE w:val="0"/>
      <w:autoSpaceDN w:val="0"/>
    </w:pPr>
    <w:rPr>
      <w:rFonts w:ascii="Arial" w:hAnsi="Arial" w:cs="Arial"/>
      <w:b/>
      <w:bCs/>
      <w:lang w:val="ru-RU" w:eastAsia="ru-RU" w:bidi="ar-SA"/>
    </w:rPr>
  </w:style>
  <w:style w:type="paragraph" w:customStyle="1" w:styleId="53">
    <w:name w:val="xl64"/>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rPr>
  </w:style>
  <w:style w:type="paragraph" w:customStyle="1" w:styleId="54">
    <w:name w:val="xl65"/>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55">
    <w:name w:val="xl66"/>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color w:val="000000"/>
    </w:rPr>
  </w:style>
  <w:style w:type="paragraph" w:customStyle="1" w:styleId="56">
    <w:name w:val="xl67"/>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000000"/>
    </w:rPr>
  </w:style>
  <w:style w:type="paragraph" w:customStyle="1" w:styleId="57">
    <w:name w:val="xl68"/>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58">
    <w:name w:val="xl69"/>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b/>
      <w:bCs/>
      <w:color w:val="000000"/>
    </w:rPr>
  </w:style>
  <w:style w:type="paragraph" w:customStyle="1" w:styleId="59">
    <w:name w:val="xl70"/>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b/>
      <w:bCs/>
      <w:color w:val="000000"/>
    </w:rPr>
  </w:style>
  <w:style w:type="paragraph" w:styleId="60">
    <w:name w:val="List Paragraph"/>
    <w:basedOn w:val="1"/>
    <w:qFormat/>
    <w:uiPriority w:val="0"/>
    <w:pPr>
      <w:autoSpaceDE/>
      <w:autoSpaceDN/>
      <w:ind w:left="720"/>
      <w:contextualSpacing/>
    </w:pPr>
    <w:rPr>
      <w:rFonts w:ascii="Calibri" w:hAnsi="Calibri" w:eastAsia="Calibri"/>
      <w:sz w:val="22"/>
      <w:szCs w:val="22"/>
      <w:lang w:eastAsia="en-US"/>
    </w:rPr>
  </w:style>
  <w:style w:type="paragraph" w:customStyle="1" w:styleId="61">
    <w:name w:val="ConsPlusNonformat"/>
    <w:uiPriority w:val="99"/>
    <w:pPr>
      <w:autoSpaceDE w:val="0"/>
      <w:autoSpaceDN w:val="0"/>
      <w:adjustRightInd w:val="0"/>
    </w:pPr>
    <w:rPr>
      <w:rFonts w:ascii="Courier New" w:hAnsi="Courier New" w:eastAsia="Calibri" w:cs="Courier New"/>
      <w:lang w:val="ru-RU" w:eastAsia="en-US" w:bidi="ar-SA"/>
    </w:rPr>
  </w:style>
  <w:style w:type="paragraph" w:customStyle="1" w:styleId="62">
    <w:name w:val="ConsPlusCell"/>
    <w:uiPriority w:val="99"/>
    <w:pPr>
      <w:autoSpaceDE w:val="0"/>
      <w:autoSpaceDN w:val="0"/>
      <w:adjustRightInd w:val="0"/>
    </w:pPr>
    <w:rPr>
      <w:rFonts w:eastAsia="Calibri"/>
      <w:sz w:val="24"/>
      <w:szCs w:val="24"/>
      <w:lang w:val="ru-RU" w:eastAsia="en-US" w:bidi="ar-SA"/>
    </w:rPr>
  </w:style>
  <w:style w:type="paragraph" w:customStyle="1" w:styleId="63">
    <w:name w:val="xl63"/>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rPr>
  </w:style>
  <w:style w:type="paragraph" w:customStyle="1" w:styleId="64">
    <w:name w:val="xl71"/>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65">
    <w:name w:val="xl72"/>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b/>
      <w:bCs/>
      <w:color w:val="000000"/>
    </w:rPr>
  </w:style>
  <w:style w:type="paragraph" w:customStyle="1" w:styleId="66">
    <w:name w:val="xl73"/>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FF0000"/>
    </w:rPr>
  </w:style>
  <w:style w:type="paragraph" w:customStyle="1" w:styleId="67">
    <w:name w:val="xl74"/>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FF0000"/>
    </w:rPr>
  </w:style>
  <w:style w:type="paragraph" w:customStyle="1" w:styleId="68">
    <w:name w:val="xl75"/>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textAlignment w:val="center"/>
    </w:pPr>
    <w:rPr>
      <w:color w:val="FF0000"/>
    </w:rPr>
  </w:style>
  <w:style w:type="paragraph" w:customStyle="1" w:styleId="69">
    <w:name w:val="xl76"/>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FF0000"/>
    </w:rPr>
  </w:style>
  <w:style w:type="paragraph" w:customStyle="1" w:styleId="70">
    <w:name w:val="Основной текст (2)"/>
    <w:basedOn w:val="1"/>
    <w:uiPriority w:val="0"/>
    <w:pPr>
      <w:widowControl w:val="0"/>
      <w:shd w:val="clear" w:color="auto" w:fill="FFFFFF"/>
      <w:autoSpaceDE/>
      <w:autoSpaceDN/>
      <w:spacing w:line="324" w:lineRule="exact"/>
      <w:ind w:hanging="700"/>
    </w:pPr>
    <w:rPr>
      <w:sz w:val="28"/>
      <w:szCs w:val="20"/>
      <w:shd w:val="clear" w:color="auto" w:fill="FFFFFF"/>
    </w:rPr>
  </w:style>
  <w:style w:type="paragraph" w:customStyle="1" w:styleId="71">
    <w:name w:val="Заголовок №1"/>
    <w:basedOn w:val="1"/>
    <w:uiPriority w:val="0"/>
    <w:pPr>
      <w:widowControl w:val="0"/>
      <w:shd w:val="clear" w:color="auto" w:fill="FFFFFF"/>
      <w:autoSpaceDE/>
      <w:autoSpaceDN/>
      <w:spacing w:before="540" w:line="324" w:lineRule="exact"/>
    </w:pPr>
    <w:rPr>
      <w:sz w:val="28"/>
      <w:szCs w:val="20"/>
      <w:shd w:val="clear" w:color="auto" w:fill="FFFFFF"/>
    </w:rPr>
  </w:style>
  <w:style w:type="paragraph" w:customStyle="1" w:styleId="72">
    <w:name w:val="Основной текст (3)"/>
    <w:basedOn w:val="1"/>
    <w:uiPriority w:val="0"/>
    <w:pPr>
      <w:widowControl w:val="0"/>
      <w:shd w:val="clear" w:color="auto" w:fill="FFFFFF"/>
      <w:autoSpaceDE/>
      <w:autoSpaceDN/>
      <w:spacing w:line="320" w:lineRule="exact"/>
    </w:pPr>
    <w:rPr>
      <w:sz w:val="20"/>
      <w:szCs w:val="20"/>
      <w:shd w:val="clear" w:color="auto" w:fill="FFFFFF"/>
    </w:rPr>
  </w:style>
  <w:style w:type="paragraph" w:customStyle="1" w:styleId="73">
    <w:name w:val="Нормальный"/>
    <w:uiPriority w:val="0"/>
    <w:pPr>
      <w:widowControl w:val="0"/>
      <w:autoSpaceDE w:val="0"/>
      <w:autoSpaceDN w:val="0"/>
      <w:adjustRightInd w:val="0"/>
    </w:pPr>
    <w:rPr>
      <w:color w:val="000000"/>
      <w:sz w:val="24"/>
      <w:szCs w:val="24"/>
      <w:lang w:val="ru-RU" w:eastAsia="ru-RU" w:bidi="ar-SA"/>
    </w:rPr>
  </w:style>
  <w:style w:type="paragraph" w:customStyle="1" w:styleId="74">
    <w:name w:val="Eiiey"/>
    <w:basedOn w:val="1"/>
    <w:uiPriority w:val="0"/>
    <w:pPr>
      <w:overflowPunct w:val="0"/>
      <w:adjustRightInd w:val="0"/>
      <w:spacing w:before="240"/>
      <w:ind w:left="547" w:hanging="547"/>
      <w:textAlignment w:val="baseline"/>
    </w:pPr>
    <w:rPr>
      <w:rFonts w:ascii="Courier New" w:hAnsi="Courier New" w:cs="Courier New"/>
    </w:rPr>
  </w:style>
  <w:style w:type="paragraph" w:customStyle="1" w:styleId="75">
    <w:name w:val="xl77"/>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b/>
      <w:bCs/>
      <w:color w:val="000000"/>
    </w:rPr>
  </w:style>
  <w:style w:type="paragraph" w:styleId="76">
    <w:name w:val=""/>
    <w:hidden/>
    <w:semiHidden/>
    <w:uiPriority w:val="99"/>
    <w:rPr>
      <w:sz w:val="24"/>
      <w:szCs w:val="24"/>
      <w:lang w:val="ru-RU" w:eastAsia="ru-RU" w:bidi="ar-SA"/>
    </w:rPr>
  </w:style>
  <w:style w:type="paragraph" w:customStyle="1" w:styleId="77">
    <w:name w:val="xl78"/>
    <w:basedOn w:val="1"/>
    <w:uiPriority w:val="0"/>
    <w:pPr>
      <w:shd w:val="clear" w:color="000000" w:fill="FCD5B4"/>
      <w:autoSpaceDE/>
      <w:autoSpaceDN/>
      <w:spacing w:before="100" w:beforeAutospacing="1" w:after="100" w:afterAutospacing="1"/>
    </w:pPr>
  </w:style>
  <w:style w:type="paragraph" w:customStyle="1" w:styleId="78">
    <w:name w:val="xl79"/>
    <w:basedOn w:val="1"/>
    <w:uiPriority w:val="0"/>
    <w:pPr>
      <w:pBdr>
        <w:top w:val="single" w:color="auto" w:sz="4" w:space="0"/>
        <w:left w:val="single" w:color="auto" w:sz="4" w:space="0"/>
        <w:bottom w:val="single" w:color="auto" w:sz="4" w:space="0"/>
        <w:right w:val="single" w:color="auto" w:sz="4" w:space="0"/>
      </w:pBdr>
      <w:shd w:val="clear" w:color="000000" w:fill="B7DEE8"/>
      <w:autoSpaceDE/>
      <w:autoSpaceDN/>
      <w:spacing w:before="100" w:beforeAutospacing="1" w:after="100" w:afterAutospacing="1"/>
      <w:jc w:val="both"/>
      <w:textAlignment w:val="center"/>
    </w:pPr>
    <w:rPr>
      <w:b/>
      <w:bCs/>
      <w:color w:val="000000"/>
    </w:rPr>
  </w:style>
  <w:style w:type="paragraph" w:customStyle="1" w:styleId="79">
    <w:name w:val="xl80"/>
    <w:basedOn w:val="1"/>
    <w:uiPriority w:val="0"/>
    <w:pPr>
      <w:pBdr>
        <w:top w:val="single" w:color="auto" w:sz="4" w:space="0"/>
        <w:left w:val="single" w:color="auto" w:sz="4" w:space="0"/>
        <w:bottom w:val="single" w:color="auto" w:sz="4" w:space="0"/>
        <w:right w:val="single" w:color="auto" w:sz="4" w:space="0"/>
      </w:pBdr>
      <w:shd w:val="clear" w:color="000000" w:fill="B7DEE8"/>
      <w:autoSpaceDE/>
      <w:autoSpaceDN/>
      <w:spacing w:before="100" w:beforeAutospacing="1" w:after="100" w:afterAutospacing="1"/>
      <w:jc w:val="center"/>
      <w:textAlignment w:val="center"/>
    </w:pPr>
    <w:rPr>
      <w:b/>
      <w:bCs/>
      <w:color w:val="000000"/>
    </w:rPr>
  </w:style>
  <w:style w:type="paragraph" w:customStyle="1" w:styleId="80">
    <w:name w:val="xl81"/>
    <w:basedOn w:val="1"/>
    <w:uiPriority w:val="0"/>
    <w:pPr>
      <w:pBdr>
        <w:top w:val="single" w:color="auto" w:sz="4" w:space="0"/>
        <w:left w:val="single" w:color="auto" w:sz="4" w:space="0"/>
        <w:bottom w:val="single" w:color="auto" w:sz="4" w:space="0"/>
        <w:right w:val="single" w:color="auto" w:sz="4" w:space="0"/>
      </w:pBdr>
      <w:shd w:val="clear" w:color="000000" w:fill="B7DEE8"/>
      <w:autoSpaceDE/>
      <w:autoSpaceDN/>
      <w:spacing w:before="100" w:beforeAutospacing="1" w:after="100" w:afterAutospacing="1"/>
      <w:jc w:val="right"/>
    </w:pPr>
    <w:rPr>
      <w:b/>
      <w:bCs/>
      <w:color w:val="000000"/>
    </w:rPr>
  </w:style>
  <w:style w:type="paragraph" w:customStyle="1" w:styleId="81">
    <w:name w:val="xl82"/>
    <w:basedOn w:val="1"/>
    <w:uiPriority w:val="0"/>
    <w:pPr>
      <w:shd w:val="clear" w:color="000000" w:fill="B7DEE8"/>
      <w:autoSpaceDE/>
      <w:autoSpaceDN/>
      <w:spacing w:before="100" w:beforeAutospacing="1" w:after="100" w:afterAutospacing="1"/>
    </w:pPr>
  </w:style>
  <w:style w:type="paragraph" w:customStyle="1" w:styleId="82">
    <w:name w:val="xl83"/>
    <w:basedOn w:val="1"/>
    <w:uiPriority w:val="0"/>
    <w:pPr>
      <w:pBdr>
        <w:top w:val="single" w:color="auto" w:sz="4" w:space="0"/>
        <w:left w:val="single" w:color="auto" w:sz="4" w:space="0"/>
        <w:bottom w:val="single" w:color="auto" w:sz="4" w:space="0"/>
        <w:right w:val="single" w:color="auto" w:sz="4" w:space="0"/>
      </w:pBdr>
      <w:shd w:val="clear" w:color="000000" w:fill="CCC0DA"/>
      <w:autoSpaceDE/>
      <w:autoSpaceDN/>
      <w:spacing w:before="100" w:beforeAutospacing="1" w:after="100" w:afterAutospacing="1"/>
      <w:jc w:val="both"/>
      <w:textAlignment w:val="center"/>
    </w:pPr>
    <w:rPr>
      <w:b/>
      <w:bCs/>
      <w:color w:val="000000"/>
    </w:rPr>
  </w:style>
  <w:style w:type="paragraph" w:customStyle="1" w:styleId="83">
    <w:name w:val="xl84"/>
    <w:basedOn w:val="1"/>
    <w:uiPriority w:val="0"/>
    <w:pPr>
      <w:pBdr>
        <w:top w:val="single" w:color="auto" w:sz="4" w:space="0"/>
        <w:left w:val="single" w:color="auto" w:sz="4" w:space="0"/>
        <w:bottom w:val="single" w:color="auto" w:sz="4" w:space="0"/>
        <w:right w:val="single" w:color="auto" w:sz="4" w:space="0"/>
      </w:pBdr>
      <w:shd w:val="clear" w:color="000000" w:fill="CCC0DA"/>
      <w:autoSpaceDE/>
      <w:autoSpaceDN/>
      <w:spacing w:before="100" w:beforeAutospacing="1" w:after="100" w:afterAutospacing="1"/>
      <w:jc w:val="center"/>
      <w:textAlignment w:val="center"/>
    </w:pPr>
    <w:rPr>
      <w:b/>
      <w:bCs/>
      <w:color w:val="000000"/>
    </w:rPr>
  </w:style>
  <w:style w:type="paragraph" w:customStyle="1" w:styleId="84">
    <w:name w:val="xl85"/>
    <w:basedOn w:val="1"/>
    <w:uiPriority w:val="0"/>
    <w:pPr>
      <w:pBdr>
        <w:top w:val="single" w:color="auto" w:sz="4" w:space="0"/>
        <w:left w:val="single" w:color="auto" w:sz="4" w:space="0"/>
        <w:bottom w:val="single" w:color="auto" w:sz="4" w:space="0"/>
        <w:right w:val="single" w:color="auto" w:sz="4" w:space="0"/>
      </w:pBdr>
      <w:shd w:val="clear" w:color="000000" w:fill="CCC0DA"/>
      <w:autoSpaceDE/>
      <w:autoSpaceDN/>
      <w:spacing w:before="100" w:beforeAutospacing="1" w:after="100" w:afterAutospacing="1"/>
      <w:jc w:val="right"/>
    </w:pPr>
    <w:rPr>
      <w:b/>
      <w:bCs/>
      <w:color w:val="000000"/>
    </w:rPr>
  </w:style>
  <w:style w:type="paragraph" w:customStyle="1" w:styleId="85">
    <w:name w:val="xl86"/>
    <w:basedOn w:val="1"/>
    <w:uiPriority w:val="0"/>
    <w:pPr>
      <w:shd w:val="clear" w:color="000000" w:fill="CCC0DA"/>
      <w:autoSpaceDE/>
      <w:autoSpaceDN/>
      <w:spacing w:before="100" w:beforeAutospacing="1" w:after="100" w:afterAutospacing="1"/>
    </w:pPr>
  </w:style>
  <w:style w:type="paragraph" w:customStyle="1" w:styleId="86">
    <w:name w:val="xl87"/>
    <w:basedOn w:val="1"/>
    <w:uiPriority w:val="0"/>
    <w:pPr>
      <w:pBdr>
        <w:top w:val="single" w:color="auto" w:sz="4" w:space="0"/>
        <w:left w:val="single" w:color="auto" w:sz="4" w:space="0"/>
        <w:bottom w:val="single" w:color="auto" w:sz="4" w:space="0"/>
        <w:right w:val="single" w:color="auto" w:sz="4" w:space="0"/>
      </w:pBdr>
      <w:shd w:val="clear" w:color="000000" w:fill="D8E4BC"/>
      <w:autoSpaceDE/>
      <w:autoSpaceDN/>
      <w:spacing w:before="100" w:beforeAutospacing="1" w:after="100" w:afterAutospacing="1"/>
      <w:jc w:val="both"/>
      <w:textAlignment w:val="center"/>
    </w:pPr>
    <w:rPr>
      <w:color w:val="000000"/>
    </w:rPr>
  </w:style>
  <w:style w:type="paragraph" w:customStyle="1" w:styleId="87">
    <w:name w:val="xl88"/>
    <w:basedOn w:val="1"/>
    <w:uiPriority w:val="0"/>
    <w:pPr>
      <w:pBdr>
        <w:top w:val="single" w:color="auto" w:sz="4" w:space="0"/>
        <w:left w:val="single" w:color="auto" w:sz="4" w:space="0"/>
        <w:bottom w:val="single" w:color="auto" w:sz="4" w:space="0"/>
        <w:right w:val="single" w:color="auto" w:sz="4" w:space="0"/>
      </w:pBdr>
      <w:shd w:val="clear" w:color="000000" w:fill="D8E4BC"/>
      <w:autoSpaceDE/>
      <w:autoSpaceDN/>
      <w:spacing w:before="100" w:beforeAutospacing="1" w:after="100" w:afterAutospacing="1"/>
      <w:jc w:val="center"/>
      <w:textAlignment w:val="center"/>
    </w:pPr>
    <w:rPr>
      <w:color w:val="000000"/>
    </w:rPr>
  </w:style>
  <w:style w:type="paragraph" w:customStyle="1" w:styleId="88">
    <w:name w:val="xl89"/>
    <w:basedOn w:val="1"/>
    <w:uiPriority w:val="0"/>
    <w:pPr>
      <w:pBdr>
        <w:top w:val="single" w:color="auto" w:sz="4" w:space="0"/>
        <w:left w:val="single" w:color="auto" w:sz="4" w:space="0"/>
        <w:bottom w:val="single" w:color="auto" w:sz="4" w:space="0"/>
        <w:right w:val="single" w:color="auto" w:sz="4" w:space="0"/>
      </w:pBdr>
      <w:shd w:val="clear" w:color="000000" w:fill="D8E4BC"/>
      <w:autoSpaceDE/>
      <w:autoSpaceDN/>
      <w:spacing w:before="100" w:beforeAutospacing="1" w:after="100" w:afterAutospacing="1"/>
      <w:jc w:val="right"/>
    </w:pPr>
    <w:rPr>
      <w:color w:val="000000"/>
    </w:rPr>
  </w:style>
  <w:style w:type="paragraph" w:customStyle="1" w:styleId="89">
    <w:name w:val="xl90"/>
    <w:basedOn w:val="1"/>
    <w:uiPriority w:val="0"/>
    <w:pPr>
      <w:shd w:val="clear" w:color="000000" w:fill="D8E4BC"/>
      <w:autoSpaceDE/>
      <w:autoSpaceDN/>
      <w:spacing w:before="100" w:beforeAutospacing="1" w:after="100" w:afterAutospacing="1"/>
    </w:pPr>
  </w:style>
  <w:style w:type="paragraph" w:customStyle="1" w:styleId="90">
    <w:name w:val="xl91"/>
    <w:basedOn w:val="1"/>
    <w:uiPriority w:val="0"/>
    <w:pPr>
      <w:pBdr>
        <w:top w:val="single" w:color="auto" w:sz="4" w:space="0"/>
        <w:left w:val="single" w:color="auto" w:sz="4" w:space="0"/>
        <w:bottom w:val="single" w:color="auto" w:sz="4" w:space="0"/>
        <w:right w:val="single" w:color="auto" w:sz="4" w:space="0"/>
      </w:pBdr>
      <w:shd w:val="clear" w:color="000000" w:fill="E6B8B7"/>
      <w:autoSpaceDE/>
      <w:autoSpaceDN/>
      <w:spacing w:before="100" w:beforeAutospacing="1" w:after="100" w:afterAutospacing="1"/>
      <w:jc w:val="both"/>
      <w:textAlignment w:val="center"/>
    </w:pPr>
    <w:rPr>
      <w:color w:val="000000"/>
    </w:rPr>
  </w:style>
  <w:style w:type="paragraph" w:customStyle="1" w:styleId="91">
    <w:name w:val="xl92"/>
    <w:basedOn w:val="1"/>
    <w:uiPriority w:val="0"/>
    <w:pPr>
      <w:pBdr>
        <w:top w:val="single" w:color="auto" w:sz="4" w:space="0"/>
        <w:left w:val="single" w:color="auto" w:sz="4" w:space="0"/>
        <w:bottom w:val="single" w:color="auto" w:sz="4" w:space="0"/>
        <w:right w:val="single" w:color="auto" w:sz="4" w:space="0"/>
      </w:pBdr>
      <w:shd w:val="clear" w:color="000000" w:fill="E6B8B7"/>
      <w:autoSpaceDE/>
      <w:autoSpaceDN/>
      <w:spacing w:before="100" w:beforeAutospacing="1" w:after="100" w:afterAutospacing="1"/>
      <w:jc w:val="center"/>
      <w:textAlignment w:val="center"/>
    </w:pPr>
    <w:rPr>
      <w:color w:val="000000"/>
    </w:rPr>
  </w:style>
  <w:style w:type="paragraph" w:customStyle="1" w:styleId="92">
    <w:name w:val="xl93"/>
    <w:basedOn w:val="1"/>
    <w:uiPriority w:val="0"/>
    <w:pPr>
      <w:pBdr>
        <w:top w:val="single" w:color="auto" w:sz="4" w:space="0"/>
        <w:left w:val="single" w:color="auto" w:sz="4" w:space="0"/>
        <w:bottom w:val="single" w:color="auto" w:sz="4" w:space="0"/>
        <w:right w:val="single" w:color="auto" w:sz="4" w:space="0"/>
      </w:pBdr>
      <w:shd w:val="clear" w:color="000000" w:fill="E6B8B7"/>
      <w:autoSpaceDE/>
      <w:autoSpaceDN/>
      <w:spacing w:before="100" w:beforeAutospacing="1" w:after="100" w:afterAutospacing="1"/>
      <w:jc w:val="right"/>
    </w:pPr>
    <w:rPr>
      <w:color w:val="000000"/>
    </w:rPr>
  </w:style>
  <w:style w:type="paragraph" w:customStyle="1" w:styleId="93">
    <w:name w:val="xl94"/>
    <w:basedOn w:val="1"/>
    <w:uiPriority w:val="0"/>
    <w:pPr>
      <w:shd w:val="clear" w:color="000000" w:fill="E6B8B7"/>
      <w:autoSpaceDE/>
      <w:autoSpaceDN/>
      <w:spacing w:before="100" w:beforeAutospacing="1" w:after="100" w:afterAutospacing="1"/>
    </w:pPr>
  </w:style>
  <w:style w:type="paragraph" w:customStyle="1" w:styleId="94">
    <w:name w:val="xl95"/>
    <w:basedOn w:val="1"/>
    <w:uiPriority w:val="0"/>
    <w:pPr>
      <w:pBdr>
        <w:top w:val="single" w:color="auto" w:sz="4" w:space="0"/>
        <w:left w:val="single" w:color="auto" w:sz="4" w:space="0"/>
        <w:bottom w:val="single" w:color="auto" w:sz="4" w:space="0"/>
        <w:right w:val="single" w:color="auto" w:sz="4" w:space="0"/>
      </w:pBdr>
      <w:shd w:val="clear" w:color="000000" w:fill="B8CCE4"/>
      <w:autoSpaceDE/>
      <w:autoSpaceDN/>
      <w:spacing w:before="100" w:beforeAutospacing="1" w:after="100" w:afterAutospacing="1"/>
      <w:jc w:val="both"/>
      <w:textAlignment w:val="center"/>
    </w:pPr>
    <w:rPr>
      <w:color w:val="000000"/>
    </w:rPr>
  </w:style>
  <w:style w:type="paragraph" w:customStyle="1" w:styleId="95">
    <w:name w:val="xl96"/>
    <w:basedOn w:val="1"/>
    <w:uiPriority w:val="0"/>
    <w:pPr>
      <w:pBdr>
        <w:top w:val="single" w:color="auto" w:sz="4" w:space="0"/>
        <w:left w:val="single" w:color="auto" w:sz="4" w:space="0"/>
        <w:bottom w:val="single" w:color="auto" w:sz="4" w:space="0"/>
        <w:right w:val="single" w:color="auto" w:sz="4" w:space="0"/>
      </w:pBdr>
      <w:shd w:val="clear" w:color="000000" w:fill="B8CCE4"/>
      <w:autoSpaceDE/>
      <w:autoSpaceDN/>
      <w:spacing w:before="100" w:beforeAutospacing="1" w:after="100" w:afterAutospacing="1"/>
      <w:jc w:val="center"/>
      <w:textAlignment w:val="center"/>
    </w:pPr>
    <w:rPr>
      <w:color w:val="000000"/>
    </w:rPr>
  </w:style>
  <w:style w:type="paragraph" w:customStyle="1" w:styleId="96">
    <w:name w:val="xl97"/>
    <w:basedOn w:val="1"/>
    <w:uiPriority w:val="0"/>
    <w:pPr>
      <w:pBdr>
        <w:top w:val="single" w:color="auto" w:sz="4" w:space="0"/>
        <w:left w:val="single" w:color="auto" w:sz="4" w:space="0"/>
        <w:bottom w:val="single" w:color="auto" w:sz="4" w:space="0"/>
        <w:right w:val="single" w:color="auto" w:sz="4" w:space="0"/>
      </w:pBdr>
      <w:shd w:val="clear" w:color="000000" w:fill="B8CCE4"/>
      <w:autoSpaceDE/>
      <w:autoSpaceDN/>
      <w:spacing w:before="100" w:beforeAutospacing="1" w:after="100" w:afterAutospacing="1"/>
      <w:jc w:val="right"/>
    </w:pPr>
    <w:rPr>
      <w:color w:val="000000"/>
    </w:rPr>
  </w:style>
  <w:style w:type="paragraph" w:customStyle="1" w:styleId="97">
    <w:name w:val="xl98"/>
    <w:basedOn w:val="1"/>
    <w:uiPriority w:val="0"/>
    <w:pPr>
      <w:shd w:val="clear" w:color="000000" w:fill="B8CCE4"/>
      <w:autoSpaceDE/>
      <w:autoSpaceDN/>
      <w:spacing w:before="100" w:beforeAutospacing="1" w:after="100" w:afterAutospacing="1"/>
    </w:pPr>
  </w:style>
  <w:style w:type="paragraph" w:customStyle="1" w:styleId="98">
    <w:name w:val="xl99"/>
    <w:basedOn w:val="1"/>
    <w:uiPriority w:val="0"/>
    <w:pPr>
      <w:pBdr>
        <w:top w:val="single" w:color="auto" w:sz="4" w:space="0"/>
        <w:left w:val="single" w:color="auto" w:sz="4" w:space="0"/>
        <w:bottom w:val="single" w:color="auto" w:sz="4" w:space="0"/>
        <w:right w:val="single" w:color="auto" w:sz="4" w:space="0"/>
      </w:pBdr>
      <w:shd w:val="clear" w:color="000000" w:fill="B8CCE4"/>
      <w:autoSpaceDE/>
      <w:autoSpaceDN/>
      <w:spacing w:before="100" w:beforeAutospacing="1" w:after="100" w:afterAutospacing="1"/>
      <w:jc w:val="both"/>
      <w:textAlignment w:val="center"/>
    </w:pPr>
    <w:rPr>
      <w:color w:val="000000"/>
    </w:rPr>
  </w:style>
  <w:style w:type="paragraph" w:customStyle="1" w:styleId="99">
    <w:name w:val="xl100"/>
    <w:basedOn w:val="1"/>
    <w:uiPriority w:val="0"/>
    <w:pPr>
      <w:pBdr>
        <w:top w:val="single" w:color="auto" w:sz="4" w:space="0"/>
        <w:left w:val="single" w:color="auto" w:sz="4" w:space="0"/>
        <w:bottom w:val="single" w:color="auto" w:sz="4" w:space="0"/>
        <w:right w:val="single" w:color="auto" w:sz="4" w:space="0"/>
      </w:pBdr>
      <w:shd w:val="clear" w:color="000000" w:fill="C4BD97"/>
      <w:autoSpaceDE/>
      <w:autoSpaceDN/>
      <w:spacing w:before="100" w:beforeAutospacing="1" w:after="100" w:afterAutospacing="1"/>
      <w:jc w:val="both"/>
      <w:textAlignment w:val="center"/>
    </w:pPr>
    <w:rPr>
      <w:color w:val="000000"/>
    </w:rPr>
  </w:style>
  <w:style w:type="paragraph" w:customStyle="1" w:styleId="100">
    <w:name w:val="xl101"/>
    <w:basedOn w:val="1"/>
    <w:uiPriority w:val="0"/>
    <w:pPr>
      <w:pBdr>
        <w:top w:val="single" w:color="auto" w:sz="4" w:space="0"/>
        <w:left w:val="single" w:color="auto" w:sz="4" w:space="0"/>
        <w:bottom w:val="single" w:color="auto" w:sz="4" w:space="0"/>
        <w:right w:val="single" w:color="auto" w:sz="4" w:space="0"/>
      </w:pBdr>
      <w:shd w:val="clear" w:color="000000" w:fill="C4BD97"/>
      <w:autoSpaceDE/>
      <w:autoSpaceDN/>
      <w:spacing w:before="100" w:beforeAutospacing="1" w:after="100" w:afterAutospacing="1"/>
      <w:jc w:val="center"/>
      <w:textAlignment w:val="center"/>
    </w:pPr>
    <w:rPr>
      <w:color w:val="000000"/>
    </w:rPr>
  </w:style>
  <w:style w:type="paragraph" w:customStyle="1" w:styleId="101">
    <w:name w:val="xl102"/>
    <w:basedOn w:val="1"/>
    <w:uiPriority w:val="0"/>
    <w:pPr>
      <w:pBdr>
        <w:top w:val="single" w:color="auto" w:sz="4" w:space="0"/>
        <w:left w:val="single" w:color="auto" w:sz="4" w:space="0"/>
        <w:bottom w:val="single" w:color="auto" w:sz="4" w:space="0"/>
        <w:right w:val="single" w:color="auto" w:sz="4" w:space="0"/>
      </w:pBdr>
      <w:shd w:val="clear" w:color="000000" w:fill="C4BD97"/>
      <w:autoSpaceDE/>
      <w:autoSpaceDN/>
      <w:spacing w:before="100" w:beforeAutospacing="1" w:after="100" w:afterAutospacing="1"/>
      <w:jc w:val="right"/>
    </w:pPr>
    <w:rPr>
      <w:color w:val="000000"/>
    </w:rPr>
  </w:style>
  <w:style w:type="paragraph" w:customStyle="1" w:styleId="102">
    <w:name w:val="xl103"/>
    <w:basedOn w:val="1"/>
    <w:uiPriority w:val="0"/>
    <w:pPr>
      <w:shd w:val="clear" w:color="000000" w:fill="C4BD97"/>
      <w:autoSpaceDE/>
      <w:autoSpaceDN/>
      <w:spacing w:before="100" w:beforeAutospacing="1" w:after="100" w:afterAutospacing="1"/>
    </w:pPr>
  </w:style>
  <w:style w:type="paragraph" w:customStyle="1" w:styleId="103">
    <w:name w:val="xl104"/>
    <w:basedOn w:val="1"/>
    <w:uiPriority w:val="0"/>
    <w:pPr>
      <w:pBdr>
        <w:top w:val="single" w:color="auto" w:sz="4" w:space="0"/>
        <w:left w:val="single" w:color="auto" w:sz="4" w:space="0"/>
        <w:bottom w:val="single" w:color="auto" w:sz="4" w:space="0"/>
        <w:right w:val="single" w:color="auto" w:sz="4" w:space="0"/>
      </w:pBdr>
      <w:shd w:val="clear" w:color="000000" w:fill="C4BD97"/>
      <w:autoSpaceDE/>
      <w:autoSpaceDN/>
      <w:spacing w:before="100" w:beforeAutospacing="1" w:after="100" w:afterAutospacing="1"/>
      <w:jc w:val="both"/>
      <w:textAlignment w:val="center"/>
    </w:pPr>
    <w:rPr>
      <w:color w:val="000000"/>
    </w:rPr>
  </w:style>
  <w:style w:type="paragraph" w:customStyle="1" w:styleId="104">
    <w:name w:val="xl105"/>
    <w:basedOn w:val="1"/>
    <w:uiPriority w:val="0"/>
    <w:pPr>
      <w:pBdr>
        <w:top w:val="single" w:color="auto" w:sz="4" w:space="0"/>
        <w:left w:val="single" w:color="auto" w:sz="4" w:space="0"/>
        <w:bottom w:val="single" w:color="auto" w:sz="4" w:space="0"/>
        <w:right w:val="single" w:color="auto" w:sz="4" w:space="0"/>
      </w:pBdr>
      <w:shd w:val="clear" w:color="000000" w:fill="C4BD97"/>
      <w:autoSpaceDE/>
      <w:autoSpaceDN/>
      <w:spacing w:before="100" w:beforeAutospacing="1" w:after="100" w:afterAutospacing="1"/>
      <w:jc w:val="both"/>
      <w:textAlignment w:val="center"/>
    </w:pPr>
    <w:rPr>
      <w:color w:val="000000"/>
    </w:rPr>
  </w:style>
  <w:style w:type="paragraph" w:customStyle="1" w:styleId="105">
    <w:name w:val="xl106"/>
    <w:basedOn w:val="1"/>
    <w:uiPriority w:val="0"/>
    <w:pPr>
      <w:pBdr>
        <w:top w:val="single" w:color="auto" w:sz="4" w:space="0"/>
        <w:bottom w:val="single" w:color="auto" w:sz="4" w:space="0"/>
        <w:right w:val="single" w:color="auto" w:sz="4" w:space="0"/>
      </w:pBdr>
      <w:autoSpaceDE/>
      <w:autoSpaceDN/>
      <w:spacing w:before="100" w:beforeAutospacing="1" w:after="100" w:afterAutospacing="1"/>
      <w:jc w:val="center"/>
      <w:textAlignment w:val="center"/>
    </w:pPr>
    <w:rPr>
      <w:i/>
      <w:iCs/>
      <w:color w:val="000000"/>
    </w:rPr>
  </w:style>
  <w:style w:type="paragraph" w:customStyle="1" w:styleId="106">
    <w:name w:val="xl107"/>
    <w:basedOn w:val="1"/>
    <w:uiPriority w:val="0"/>
    <w:pPr>
      <w:pBdr>
        <w:top w:val="single" w:color="auto" w:sz="4" w:space="0"/>
        <w:bottom w:val="single" w:color="auto" w:sz="4" w:space="0"/>
        <w:right w:val="single" w:color="auto" w:sz="4" w:space="0"/>
      </w:pBdr>
      <w:autoSpaceDE/>
      <w:autoSpaceDN/>
      <w:spacing w:before="100" w:beforeAutospacing="1" w:after="100" w:afterAutospacing="1"/>
      <w:jc w:val="right"/>
    </w:pPr>
    <w:rPr>
      <w:i/>
      <w:iCs/>
      <w:color w:val="000000"/>
    </w:rPr>
  </w:style>
  <w:style w:type="paragraph" w:customStyle="1" w:styleId="107">
    <w:name w:val="xl108"/>
    <w:basedOn w:val="1"/>
    <w:uiPriority w:val="0"/>
    <w:pPr>
      <w:pBdr>
        <w:bottom w:val="single" w:color="auto" w:sz="4" w:space="0"/>
        <w:right w:val="single" w:color="auto" w:sz="4" w:space="0"/>
      </w:pBdr>
      <w:autoSpaceDE/>
      <w:autoSpaceDN/>
      <w:spacing w:before="100" w:beforeAutospacing="1" w:after="100" w:afterAutospacing="1"/>
      <w:jc w:val="center"/>
      <w:textAlignment w:val="center"/>
    </w:pPr>
    <w:rPr>
      <w:i/>
      <w:iCs/>
      <w:color w:val="000000"/>
    </w:rPr>
  </w:style>
  <w:style w:type="paragraph" w:customStyle="1" w:styleId="108">
    <w:name w:val="xl109"/>
    <w:basedOn w:val="1"/>
    <w:uiPriority w:val="0"/>
    <w:pPr>
      <w:pBdr>
        <w:bottom w:val="single" w:color="auto" w:sz="4" w:space="0"/>
        <w:right w:val="single" w:color="auto" w:sz="4" w:space="0"/>
      </w:pBdr>
      <w:autoSpaceDE/>
      <w:autoSpaceDN/>
      <w:spacing w:before="100" w:beforeAutospacing="1" w:after="100" w:afterAutospacing="1"/>
      <w:jc w:val="right"/>
    </w:pPr>
    <w:rPr>
      <w:i/>
      <w:iCs/>
      <w:color w:val="000000"/>
    </w:rPr>
  </w:style>
  <w:style w:type="paragraph" w:customStyle="1" w:styleId="109">
    <w:name w:val="xl110"/>
    <w:basedOn w:val="1"/>
    <w:uiPriority w:val="0"/>
    <w:pPr>
      <w:pBdr>
        <w:top w:val="single" w:color="auto" w:sz="4" w:space="0"/>
        <w:left w:val="single" w:color="auto" w:sz="4" w:space="20"/>
        <w:bottom w:val="single" w:color="auto" w:sz="4" w:space="0"/>
        <w:right w:val="single" w:color="auto" w:sz="4" w:space="0"/>
      </w:pBdr>
      <w:autoSpaceDE/>
      <w:autoSpaceDN/>
      <w:spacing w:before="100" w:beforeAutospacing="1" w:after="100" w:afterAutospacing="1"/>
      <w:ind w:firstLineChars="300"/>
      <w:textAlignment w:val="center"/>
    </w:pPr>
    <w:rPr>
      <w:color w:val="000000"/>
    </w:rPr>
  </w:style>
  <w:style w:type="paragraph" w:customStyle="1" w:styleId="110">
    <w:name w:val="xl111"/>
    <w:basedOn w:val="1"/>
    <w:uiPriority w:val="0"/>
    <w:pPr>
      <w:pBdr>
        <w:left w:val="single" w:color="auto" w:sz="4" w:space="20"/>
        <w:bottom w:val="single" w:color="auto" w:sz="4" w:space="0"/>
        <w:right w:val="single" w:color="auto" w:sz="4" w:space="0"/>
      </w:pBdr>
      <w:autoSpaceDE/>
      <w:autoSpaceDN/>
      <w:spacing w:before="100" w:beforeAutospacing="1" w:after="100" w:afterAutospacing="1"/>
      <w:ind w:firstLineChars="300"/>
      <w:textAlignment w:val="center"/>
    </w:pPr>
    <w:rPr>
      <w:color w:val="000000"/>
    </w:rPr>
  </w:style>
  <w:style w:type="paragraph" w:customStyle="1" w:styleId="111">
    <w:name w:val="xl112"/>
    <w:basedOn w:val="1"/>
    <w:uiPriority w:val="0"/>
    <w:pPr>
      <w:pBdr>
        <w:top w:val="single" w:color="auto" w:sz="4" w:space="0"/>
        <w:left w:val="single" w:color="auto" w:sz="4" w:space="20"/>
        <w:bottom w:val="single" w:color="auto" w:sz="4" w:space="0"/>
        <w:right w:val="single" w:color="auto" w:sz="4" w:space="0"/>
      </w:pBdr>
      <w:autoSpaceDE/>
      <w:autoSpaceDN/>
      <w:spacing w:before="100" w:beforeAutospacing="1" w:after="100" w:afterAutospacing="1"/>
      <w:ind w:firstLineChars="300"/>
      <w:textAlignment w:val="center"/>
    </w:pPr>
    <w:rPr>
      <w:color w:val="000000"/>
    </w:rPr>
  </w:style>
  <w:style w:type="paragraph" w:customStyle="1" w:styleId="112">
    <w:name w:val="xl113"/>
    <w:basedOn w:val="1"/>
    <w:uiPriority w:val="0"/>
    <w:pPr>
      <w:pBdr>
        <w:top w:val="dotted" w:color="auto" w:sz="4" w:space="0"/>
        <w:left w:val="dotted" w:color="auto" w:sz="4" w:space="0"/>
        <w:bottom w:val="dotted" w:color="auto" w:sz="4" w:space="0"/>
        <w:right w:val="dotted" w:color="auto" w:sz="4" w:space="0"/>
      </w:pBdr>
      <w:shd w:val="clear" w:color="000000" w:fill="FFC000"/>
      <w:autoSpaceDE/>
      <w:autoSpaceDN/>
      <w:spacing w:before="100" w:beforeAutospacing="1" w:after="100" w:afterAutospacing="1"/>
      <w:jc w:val="right"/>
      <w:textAlignment w:val="center"/>
    </w:pPr>
    <w:rPr>
      <w:rFonts w:ascii="Arial Narrow" w:hAnsi="Arial Narrow"/>
      <w:sz w:val="16"/>
      <w:szCs w:val="16"/>
    </w:rPr>
  </w:style>
  <w:style w:type="paragraph" w:customStyle="1" w:styleId="113">
    <w:name w:val="xl114"/>
    <w:basedOn w:val="1"/>
    <w:uiPriority w:val="0"/>
    <w:pPr>
      <w:pBdr>
        <w:top w:val="dotted" w:color="auto" w:sz="4" w:space="0"/>
        <w:left w:val="dotted" w:color="auto" w:sz="4" w:space="0"/>
        <w:bottom w:val="dotted" w:color="auto" w:sz="4" w:space="0"/>
        <w:right w:val="single" w:color="auto" w:sz="4" w:space="0"/>
      </w:pBdr>
      <w:shd w:val="clear" w:color="000000" w:fill="FFC000"/>
      <w:autoSpaceDE/>
      <w:autoSpaceDN/>
      <w:spacing w:before="100" w:beforeAutospacing="1" w:after="100" w:afterAutospacing="1"/>
      <w:jc w:val="right"/>
      <w:textAlignment w:val="center"/>
    </w:pPr>
    <w:rPr>
      <w:rFonts w:ascii="Arial Narrow" w:hAnsi="Arial Narrow"/>
      <w:sz w:val="16"/>
      <w:szCs w:val="16"/>
    </w:rPr>
  </w:style>
  <w:style w:type="paragraph" w:customStyle="1" w:styleId="114">
    <w:name w:val="xl115"/>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style>
  <w:style w:type="paragraph" w:customStyle="1" w:styleId="115">
    <w:name w:val="xl116"/>
    <w:basedOn w:val="1"/>
    <w:uiPriority w:val="0"/>
    <w:pPr>
      <w:pBdr>
        <w:top w:val="single" w:color="auto" w:sz="4" w:space="0"/>
        <w:bottom w:val="single" w:color="auto" w:sz="4" w:space="0"/>
        <w:right w:val="single" w:color="auto" w:sz="4" w:space="0"/>
      </w:pBdr>
      <w:autoSpaceDE/>
      <w:autoSpaceDN/>
      <w:spacing w:before="100" w:beforeAutospacing="1" w:after="100" w:afterAutospacing="1"/>
      <w:jc w:val="right"/>
    </w:pPr>
    <w:rPr>
      <w:color w:val="000000"/>
    </w:rPr>
  </w:style>
  <w:style w:type="paragraph" w:customStyle="1" w:styleId="116">
    <w:name w:val="xl117"/>
    <w:basedOn w:val="1"/>
    <w:uiPriority w:val="0"/>
    <w:pPr>
      <w:pBdr>
        <w:bottom w:val="single" w:color="auto" w:sz="4" w:space="0"/>
        <w:right w:val="single" w:color="auto" w:sz="4" w:space="0"/>
      </w:pBdr>
      <w:autoSpaceDE/>
      <w:autoSpaceDN/>
      <w:spacing w:before="100" w:beforeAutospacing="1" w:after="100" w:afterAutospacing="1"/>
      <w:jc w:val="right"/>
    </w:pPr>
    <w:rPr>
      <w:color w:val="000000"/>
    </w:rPr>
  </w:style>
  <w:style w:type="paragraph" w:customStyle="1" w:styleId="117">
    <w:name w:val="xl118"/>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rPr>
  </w:style>
  <w:style w:type="paragraph" w:customStyle="1" w:styleId="118">
    <w:name w:val="xl119"/>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rPr>
  </w:style>
  <w:style w:type="paragraph" w:customStyle="1" w:styleId="119">
    <w:name w:val="xl120"/>
    <w:basedOn w:val="1"/>
    <w:uiPriority w:val="0"/>
    <w:pPr>
      <w:pBdr>
        <w:top w:val="single" w:color="auto" w:sz="4" w:space="0"/>
        <w:left w:val="single" w:color="auto" w:sz="4" w:space="0"/>
        <w:right w:val="single" w:color="auto" w:sz="4" w:space="0"/>
      </w:pBdr>
      <w:autoSpaceDE/>
      <w:autoSpaceDN/>
      <w:spacing w:before="100" w:beforeAutospacing="1" w:after="100" w:afterAutospacing="1"/>
      <w:textAlignment w:val="center"/>
    </w:pPr>
  </w:style>
  <w:style w:type="paragraph" w:customStyle="1" w:styleId="120">
    <w:name w:val="xl121"/>
    <w:basedOn w:val="1"/>
    <w:uiPriority w:val="0"/>
    <w:pPr>
      <w:pBdr>
        <w:top w:val="single" w:color="auto" w:sz="4" w:space="0"/>
        <w:left w:val="single" w:color="auto" w:sz="4" w:space="0"/>
        <w:right w:val="single" w:color="auto" w:sz="4" w:space="0"/>
      </w:pBdr>
      <w:autoSpaceDE/>
      <w:autoSpaceDN/>
      <w:spacing w:before="100" w:beforeAutospacing="1" w:after="100" w:afterAutospacing="1"/>
      <w:textAlignment w:val="center"/>
    </w:pPr>
  </w:style>
  <w:style w:type="paragraph" w:customStyle="1" w:styleId="121">
    <w:name w:val="xl122"/>
    <w:basedOn w:val="1"/>
    <w:uiPriority w:val="0"/>
    <w:pPr>
      <w:pBdr>
        <w:top w:val="single" w:color="auto" w:sz="4" w:space="0"/>
        <w:left w:val="single" w:color="auto" w:sz="4" w:space="20"/>
        <w:bottom w:val="single" w:color="auto" w:sz="4" w:space="0"/>
        <w:right w:val="single" w:color="auto" w:sz="4" w:space="0"/>
      </w:pBdr>
      <w:autoSpaceDE/>
      <w:autoSpaceDN/>
      <w:spacing w:before="100" w:beforeAutospacing="1" w:after="100" w:afterAutospacing="1"/>
      <w:ind w:firstLineChars="300"/>
      <w:textAlignment w:val="center"/>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header" Target="header8.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102</Pages>
  <Words>42010</Words>
  <Characters>239462</Characters>
  <Lines>1995</Lines>
  <Paragraphs>561</Paragraphs>
  <TotalTime>0</TotalTime>
  <ScaleCrop>false</ScaleCrop>
  <LinksUpToDate>false</LinksUpToDate>
  <CharactersWithSpaces>280911</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2022-11-14T13:14:00Z</dcterms:created>
  <dc:creator>Анастасия</dc:creator>
  <cp:lastModifiedBy>Дарья</cp:lastModifiedBy>
  <cp:lastPrinted>2022-12-14T07:00:00Z</cp:lastPrinted>
  <dcterms:modified xsi:type="dcterms:W3CDTF">2022-12-19T06:35:03Z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9BB805D54A1D4704B923D68DE04D6311</vt:lpwstr>
  </property>
</Properties>
</file>